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10266F" w14:textId="616FD733" w:rsidR="00F62892" w:rsidRPr="00D120D1" w:rsidRDefault="002C422B" w:rsidP="00E847CC">
      <w:pPr>
        <w:pStyle w:val="Topline16Pt"/>
      </w:pPr>
      <w:r>
        <w:t>Communicado á imprensa</w:t>
      </w:r>
    </w:p>
    <w:p w14:paraId="009F533C" w14:textId="4B42E9A1" w:rsidR="00E847CC" w:rsidRPr="00A00C20" w:rsidRDefault="00A00C20" w:rsidP="00E847CC">
      <w:pPr>
        <w:pStyle w:val="HeadlineH233Pt"/>
        <w:spacing w:line="240" w:lineRule="auto"/>
        <w:rPr>
          <w:rFonts w:cs="Arial"/>
        </w:rPr>
      </w:pPr>
      <w:r>
        <w:t>Os guindastes Liebherr constroem o edifício residencial mais alto na Nova Zelândia com</w:t>
      </w:r>
    </w:p>
    <w:p w14:paraId="7B48CF47" w14:textId="77777777" w:rsidR="00B81ED6" w:rsidRPr="00D120D1" w:rsidRDefault="00B81ED6" w:rsidP="00B81ED6">
      <w:pPr>
        <w:pStyle w:val="HeadlineH233Pt"/>
        <w:spacing w:before="240" w:after="240" w:line="140" w:lineRule="exact"/>
        <w:rPr>
          <w:rFonts w:ascii="Tahoma" w:hAnsi="Tahoma" w:cs="Tahoma"/>
        </w:rPr>
      </w:pPr>
      <w:r>
        <w:rPr>
          <w:rFonts w:ascii="Tahoma" w:hAnsi="Tahoma"/>
        </w:rPr>
        <w:t>⸺</w:t>
      </w:r>
    </w:p>
    <w:p w14:paraId="293AF397" w14:textId="23A4C2E2" w:rsidR="002F3CF1" w:rsidRPr="00AD3DA1" w:rsidRDefault="00AD3DA1" w:rsidP="00AD3DA1">
      <w:pPr>
        <w:pStyle w:val="Bulletpoints11Pt"/>
      </w:pPr>
      <w:r>
        <w:t>Os guindastes de lança basculante 280</w:t>
      </w:r>
      <w:r w:rsidR="00FC0F92">
        <w:t> </w:t>
      </w:r>
      <w:r>
        <w:t>HC-L</w:t>
      </w:r>
      <w:r w:rsidR="00FC0F92">
        <w:t> </w:t>
      </w:r>
      <w:r>
        <w:t>12/24 e 542</w:t>
      </w:r>
      <w:r w:rsidR="00FC0F92">
        <w:t> </w:t>
      </w:r>
      <w:r>
        <w:t>HC-L</w:t>
      </w:r>
      <w:r w:rsidR="00FC0F92">
        <w:t> </w:t>
      </w:r>
      <w:r>
        <w:t xml:space="preserve">18/36 oferecem alta capacidade de carga para componentes pesados feitos de aço e vidro  </w:t>
      </w:r>
    </w:p>
    <w:p w14:paraId="2B7FFA79" w14:textId="0020AEF4" w:rsidR="002F3CF1" w:rsidRDefault="002F3CF1" w:rsidP="00AD3DA1">
      <w:pPr>
        <w:pStyle w:val="Bulletpoints11Pt"/>
      </w:pPr>
      <w:r>
        <w:t>O departamento de projetos Tower Crane Solutions da Liebherr projetou um processo de escalada econômico</w:t>
      </w:r>
    </w:p>
    <w:p w14:paraId="16601A07" w14:textId="00FF98CC" w:rsidR="002F3CF1" w:rsidRPr="00AD3DA1" w:rsidRDefault="00AD3DA1" w:rsidP="00DB00B2">
      <w:pPr>
        <w:pStyle w:val="Bulletpoints11Pt"/>
      </w:pPr>
      <w:r>
        <w:t xml:space="preserve">Movimentos precisos graças a sistemas inteligentes de assistência e acionamentos de produção interna </w:t>
      </w:r>
    </w:p>
    <w:p w14:paraId="7675AD04" w14:textId="364FB0BC" w:rsidR="00A00C20" w:rsidRDefault="00A00C20" w:rsidP="004B49BF">
      <w:pPr>
        <w:pStyle w:val="Teaser11Pt"/>
      </w:pPr>
      <w:r>
        <w:t>Mire alto com os guindastes de lança basculante da Liebherr: Um 280</w:t>
      </w:r>
      <w:r w:rsidR="00FC0F92">
        <w:t> </w:t>
      </w:r>
      <w:r>
        <w:t>HC-L</w:t>
      </w:r>
      <w:r w:rsidR="00FC0F92">
        <w:t> </w:t>
      </w:r>
      <w:r>
        <w:t>12/24 e um 542</w:t>
      </w:r>
      <w:r w:rsidR="00D00B47">
        <w:t> </w:t>
      </w:r>
      <w:r>
        <w:t>HC</w:t>
      </w:r>
      <w:r w:rsidR="00D00B47">
        <w:noBreakHyphen/>
      </w:r>
      <w:r>
        <w:t>L</w:t>
      </w:r>
      <w:r w:rsidR="00D00B47">
        <w:t> 1</w:t>
      </w:r>
      <w:r>
        <w:t xml:space="preserve">8/36 estão trabalhando atualmente em um impressionante projeto de construção em Auckland, Nova Zelândia. O arranha-céu "Seascape", construído pela China Construction New Zealand Limited, será o edifício residencial mais alto da Nova Zelândia quando concluído. A Liebherr oferece suporte como fornecedor de soluções completas com guindastes confiáveis, um conceito especial de escalada e técnicos de serviço treinados. </w:t>
      </w:r>
    </w:p>
    <w:p w14:paraId="63986622" w14:textId="1E2E12A0" w:rsidR="005F659A" w:rsidRDefault="004B49BF" w:rsidP="009A3D17">
      <w:pPr>
        <w:pStyle w:val="Copytext11Pt"/>
      </w:pPr>
      <w:r>
        <w:t>Auckland (Nova Zelândia), 7 de junho de 2023 – Os guindastes da série HC-L estão predestinados a projetos de arranha-céus, como os do centro de Auckland. Podem ser usados nos espaços mais apertados, com alta capacidade de movimentação e alturas de gancho extremamente altas – tudo isso é possível graças aos guindastes de lança basculante da Liebherr. Está em uso um 280</w:t>
      </w:r>
      <w:r w:rsidR="00FC0F92">
        <w:t> </w:t>
      </w:r>
      <w:r>
        <w:t>HC-L</w:t>
      </w:r>
      <w:r w:rsidR="00FC0F92">
        <w:t> </w:t>
      </w:r>
      <w:r>
        <w:t>12/24 com capacidade máxima de carga de 24</w:t>
      </w:r>
      <w:r w:rsidR="00FC0F92">
        <w:t> </w:t>
      </w:r>
      <w:r>
        <w:t>toneladas e alcance de 40</w:t>
      </w:r>
      <w:r w:rsidR="00FC0F92">
        <w:t> </w:t>
      </w:r>
      <w:r>
        <w:t>metros. Um 542</w:t>
      </w:r>
      <w:r w:rsidR="00FC0F92">
        <w:t> </w:t>
      </w:r>
      <w:r>
        <w:t>HC-L</w:t>
      </w:r>
      <w:r w:rsidR="00FC0F92">
        <w:t> </w:t>
      </w:r>
      <w:r>
        <w:t>18/36 utilizado trabalha com capacidade máxima de carga de 36</w:t>
      </w:r>
      <w:r w:rsidR="00FC0F92">
        <w:t> </w:t>
      </w:r>
      <w:r>
        <w:t>toneladas e um grande alcance de 50</w:t>
      </w:r>
      <w:r w:rsidR="00D00B47">
        <w:t> m</w:t>
      </w:r>
      <w:r>
        <w:t xml:space="preserve">etros. Ambos os equipamentos pertencem à frota da China Construction New Zealand Limited.    </w:t>
      </w:r>
    </w:p>
    <w:p w14:paraId="7DF16CA9" w14:textId="7D0C5012" w:rsidR="00A00C20" w:rsidRPr="00E714D9" w:rsidRDefault="00406E93" w:rsidP="00406E93">
      <w:pPr>
        <w:pStyle w:val="Copyhead11Pt"/>
      </w:pPr>
      <w:r>
        <w:t>O 280</w:t>
      </w:r>
      <w:r w:rsidR="00FC0F92">
        <w:t> </w:t>
      </w:r>
      <w:r>
        <w:t>HC-L usa um sistema de escalada interna para escalada externa</w:t>
      </w:r>
    </w:p>
    <w:p w14:paraId="28A02240" w14:textId="773F4E0B" w:rsidR="00CC4E55" w:rsidRDefault="005F659A" w:rsidP="00406E93">
      <w:pPr>
        <w:pStyle w:val="Copytext11Pt"/>
      </w:pPr>
      <w:r>
        <w:t>O departamento de projetos Tower Crane Solutions da Liebherr desenvolveu um conceito personalizado de escalada para uso econômico do guindaste. Aqui, o 280</w:t>
      </w:r>
      <w:r w:rsidR="00FC0F92">
        <w:t> </w:t>
      </w:r>
      <w:r>
        <w:t>HC-L cresce para cima no sistema de escalada interna 355</w:t>
      </w:r>
      <w:r w:rsidR="00FC0F92">
        <w:t> </w:t>
      </w:r>
      <w:r>
        <w:t>IC. Com uma dimensão externa de 1,9</w:t>
      </w:r>
      <w:r w:rsidR="00FC0F92">
        <w:t> </w:t>
      </w:r>
      <w:r>
        <w:t>x</w:t>
      </w:r>
      <w:r w:rsidR="00FC0F92">
        <w:t> </w:t>
      </w:r>
      <w:r>
        <w:t>1,9</w:t>
      </w:r>
      <w:r w:rsidR="00FC0F92">
        <w:t> </w:t>
      </w:r>
      <w:r>
        <w:t xml:space="preserve">metros, as seções da torre são muito estreitas e, portanto, se encaixam perfeitamente em poços de elevadores, por exemplo. </w:t>
      </w:r>
    </w:p>
    <w:p w14:paraId="7F8BEE7D" w14:textId="1697AAF1" w:rsidR="00406E93" w:rsidRDefault="00406E93" w:rsidP="00406E93">
      <w:pPr>
        <w:pStyle w:val="Copytext11Pt"/>
      </w:pPr>
      <w:r>
        <w:t>O que há de especial no projeto "Seascape" da China Construction New Zealand Limited: O 280</w:t>
      </w:r>
      <w:r w:rsidR="00FC0F92">
        <w:t> </w:t>
      </w:r>
      <w:r>
        <w:t>HC-L não sobe por dentro, mas por fora do edifício. Devido a esse arranjo, o 280</w:t>
      </w:r>
      <w:r w:rsidR="00FC0F92">
        <w:t> </w:t>
      </w:r>
      <w:r>
        <w:t>HC-L e o 542</w:t>
      </w:r>
      <w:r w:rsidR="00FC0F92">
        <w:t> </w:t>
      </w:r>
      <w:r>
        <w:t xml:space="preserve">HC-L podem atender o canteiro de obras de maneira ideal. Este conceito tem a vantagem de que são necessárias menos seções de torre e o acabamento interno pode ser realizado sem impedimentos na área inferior da torre residencial. Isso economiza tempo e dinheiro para o cliente. </w:t>
      </w:r>
    </w:p>
    <w:p w14:paraId="618C716C" w14:textId="2D16A90A" w:rsidR="00CC4E55" w:rsidRPr="00E714D9" w:rsidRDefault="001C359C" w:rsidP="00CC4E55">
      <w:pPr>
        <w:pStyle w:val="Copyhead11Pt"/>
      </w:pPr>
      <w:r>
        <w:lastRenderedPageBreak/>
        <w:t>O 542</w:t>
      </w:r>
      <w:r w:rsidR="00FC0F92">
        <w:t> </w:t>
      </w:r>
      <w:r>
        <w:t>HC-L sobe no sistema de torre 500</w:t>
      </w:r>
      <w:r w:rsidR="00FC0F92">
        <w:t> </w:t>
      </w:r>
      <w:r>
        <w:t>HC</w:t>
      </w:r>
    </w:p>
    <w:p w14:paraId="573A87CE" w14:textId="3807B79D" w:rsidR="00CC4E55" w:rsidRDefault="00CC4E55" w:rsidP="00406E93">
      <w:pPr>
        <w:pStyle w:val="Copytext11Pt"/>
      </w:pPr>
      <w:r>
        <w:t>O 542</w:t>
      </w:r>
      <w:r w:rsidR="00FC0F92">
        <w:t> </w:t>
      </w:r>
      <w:r>
        <w:t>HC-L sobe de forma clássica externamente no edifício, ou seja, no sistema de torre 500</w:t>
      </w:r>
      <w:r w:rsidR="00FC0F92">
        <w:t> </w:t>
      </w:r>
      <w:r>
        <w:t>HC. Ele é adequado para guindastes grandes com alta capacidade de carga e, ao mesmo tempo, é muito compacto, com uma dimensão externa de 2,4</w:t>
      </w:r>
      <w:r w:rsidR="00FC0F92">
        <w:t> </w:t>
      </w:r>
      <w:r>
        <w:t>x</w:t>
      </w:r>
      <w:r w:rsidR="00FC0F92">
        <w:t> </w:t>
      </w:r>
      <w:r>
        <w:t>2,4</w:t>
      </w:r>
      <w:r w:rsidR="00FC0F92">
        <w:t> </w:t>
      </w:r>
      <w:r>
        <w:t>metros. O guindaste de lança basculante é fixado ao edifício nove vezes até atingir uma altura máxima de torre de cerca de 163</w:t>
      </w:r>
      <w:r w:rsidR="00FC0F92">
        <w:t> </w:t>
      </w:r>
      <w:r>
        <w:t>metros.</w:t>
      </w:r>
    </w:p>
    <w:p w14:paraId="0D0D3E32" w14:textId="73A573D3" w:rsidR="00406E93" w:rsidRDefault="00CC4E55" w:rsidP="00406E93">
      <w:pPr>
        <w:pStyle w:val="Copytext11Pt"/>
      </w:pPr>
      <w:r>
        <w:t>Nesta posição, o 542</w:t>
      </w:r>
      <w:r w:rsidR="00FC0F92">
        <w:t> </w:t>
      </w:r>
      <w:r>
        <w:t>HC-L não apenas realiza os últimos movimentos no canteiro de obras, mas também auxilia na desmontagem do 280</w:t>
      </w:r>
      <w:r w:rsidR="00FC0F92">
        <w:t> </w:t>
      </w:r>
      <w:r>
        <w:t>HC-L. Em seguida, o 542</w:t>
      </w:r>
      <w:r w:rsidR="00FC0F92">
        <w:t> </w:t>
      </w:r>
      <w:r>
        <w:t xml:space="preserve">HC-L desce do edifício e pode ser desmontado com um caminhão guindaste. Os técnicos de serviço da Liebherr fazem a manutenção de ambos os guindastes, os escalam neles e assumem a desmontagem. </w:t>
      </w:r>
    </w:p>
    <w:p w14:paraId="2F6B5660" w14:textId="0AC52820" w:rsidR="009A3D17" w:rsidRPr="005F659A" w:rsidRDefault="00E714D9" w:rsidP="009A3D17">
      <w:pPr>
        <w:pStyle w:val="Copyhead11Pt"/>
      </w:pPr>
      <w:r>
        <w:t xml:space="preserve">Arranha-céu com fachada característica  </w:t>
      </w:r>
    </w:p>
    <w:p w14:paraId="5ABD69E1" w14:textId="61CC1048" w:rsidR="00AD3DA1" w:rsidRDefault="00A872CA" w:rsidP="00A872CA">
      <w:pPr>
        <w:pStyle w:val="Copytext11Pt"/>
      </w:pPr>
      <w:r>
        <w:t xml:space="preserve">As obras do arranha-céu de arquitetura imponente estão previstas para durar até 2024. Particularmente distinta é a imponente fachada de vidro com uma estrutura de aço em forma de diamante que percorre toda a altura dos lados leste e oeste do edifício. Isso permitirá que os residentes desfrutem de vistas desobstruídas para o mar do porto e o golfo de Hauraki. </w:t>
      </w:r>
    </w:p>
    <w:p w14:paraId="7F89366D" w14:textId="64C96813" w:rsidR="00A872CA" w:rsidRDefault="00A872CA" w:rsidP="00A872CA">
      <w:pPr>
        <w:pStyle w:val="Copytext11Pt"/>
      </w:pPr>
      <w:r>
        <w:t>Quando concluído, o edifício terá 52 andares e, com 187</w:t>
      </w:r>
      <w:r w:rsidR="00FC0F92">
        <w:t> </w:t>
      </w:r>
      <w:r>
        <w:t xml:space="preserve">metros de altura, estabelecerá novos padrões no horizonte de Auckland. Além de lojas de varejo e escritórios, cerca de 220 apartamentos estão planejados na torre do edifício. </w:t>
      </w:r>
    </w:p>
    <w:p w14:paraId="6DF582C9" w14:textId="6E5E4287" w:rsidR="00A00C20" w:rsidRPr="00256CF9" w:rsidRDefault="002F3CF1" w:rsidP="00AD3DA1">
      <w:pPr>
        <w:pStyle w:val="Copyhead11Pt"/>
      </w:pPr>
      <w:r>
        <w:t>Acionamentos de alta potência de produção interna</w:t>
      </w:r>
    </w:p>
    <w:p w14:paraId="56EB4A4B" w14:textId="04F891C7" w:rsidR="00E714D9" w:rsidRDefault="006776CC" w:rsidP="009A3D17">
      <w:pPr>
        <w:pStyle w:val="Copytext11Pt"/>
      </w:pPr>
      <w:r>
        <w:t xml:space="preserve">Os guindastes de lança basculante da Liebherr são o parceiro ideal para transportar e instalar os muitos elementos de vidro e aço. Eles dispõem de alta capacidade de carga e acionamentos de alta potência de produção interna. Além disso, os sistemas inteligentes de assistência, como o trajeto horizontal de carga, a delimitação da área de trabalho ABB e o Micromove, auxiliam o operador do guindaste a realizar movimentos precisos e seguros. Por exemplo, com o modo de posicionamento fino Micromove, os componentes podem ser abaixados lentamente e com precisão milimétrica, de modo que nem o componente nem a estrutura do edifício sejam danificados. </w:t>
      </w:r>
    </w:p>
    <w:p w14:paraId="2B956C17" w14:textId="77777777" w:rsidR="00D42D7A" w:rsidRPr="00256CF9" w:rsidRDefault="00D42D7A" w:rsidP="00D42D7A">
      <w:pPr>
        <w:pStyle w:val="BoilerplateCopyhead9Pt"/>
      </w:pPr>
      <w:r>
        <w:t>Sobre a divisão de guindastes de torre da Liebherr</w:t>
      </w:r>
    </w:p>
    <w:p w14:paraId="1E607F48" w14:textId="77777777" w:rsidR="00D42D7A" w:rsidRPr="00256CF9" w:rsidRDefault="00D42D7A" w:rsidP="00D42D7A">
      <w:pPr>
        <w:pStyle w:val="BoilerplateCopytext9Pt"/>
      </w:pPr>
      <w:r>
        <w:t>Mais de sete décadas de experiência fazem da Liebherr uma especialista reconhecida em tecnologia de elevação em canteiros de obras de todos os tipos. A linha Tower Crane da Liebherr inclui uma ampla variedade de guindastes de torre de alta qualidade, que são usados em todo o mundo. Isso inclui guindastes especiais de montagem rápida, com torre giratória e lança basculante, bem como gruas móveis para construção. Além de fornecer os produtos da linha Tower Crane, a Liebherr também oferece uma ampla variedade de serviços, que completam seu portfólio: o Tower Crane Solutions, o Tower Crane Center e o Tower Crane Customer Service.</w:t>
      </w:r>
    </w:p>
    <w:p w14:paraId="3988D353" w14:textId="77777777" w:rsidR="003F61E0" w:rsidRDefault="003F61E0">
      <w:pPr>
        <w:rPr>
          <w:rFonts w:ascii="Arial" w:eastAsia="Times New Roman" w:hAnsi="Arial" w:cs="Times New Roman"/>
          <w:b/>
          <w:sz w:val="18"/>
          <w:szCs w:val="18"/>
        </w:rPr>
      </w:pPr>
      <w:r>
        <w:br w:type="page"/>
      </w:r>
    </w:p>
    <w:p w14:paraId="76FFA739" w14:textId="71B4A0C6" w:rsidR="00D42D7A" w:rsidRPr="00256CF9" w:rsidRDefault="00D42D7A" w:rsidP="00D42D7A">
      <w:pPr>
        <w:pStyle w:val="BoilerplateCopyhead9Pt"/>
      </w:pPr>
      <w:r>
        <w:lastRenderedPageBreak/>
        <w:t>Sobre o grupo Liebherr</w:t>
      </w:r>
    </w:p>
    <w:p w14:paraId="638F7423" w14:textId="77777777" w:rsidR="00416CD7" w:rsidRPr="00FC0F92" w:rsidRDefault="00416CD7" w:rsidP="00FC0F92">
      <w:pPr>
        <w:pStyle w:val="BoilerplateCopytext9Pt"/>
      </w:pPr>
      <w:r w:rsidRPr="00FC0F92">
        <w:t>O grupo de empresas Liebherr é uma empresa familiar que oferece tecnologia numa ampla variedade de produtos. A empresa é um dos maiores fabricantes de máquinas de construção do mundo. No entanto, também oferece produtos e serviços de alta qualidade e orientados para benefícios em muitas outras áreas. Atualmente, o grupo de empresas inclui mais de 140 empresas em todos os continentes. Em 2022, empregou mais de 50.000 colaboradores e gerou vendas totais consolidadas de mais de 12,5 bilhões de euros. A Liebherr foi fundada em 1949 em Kirchdorf an der Iller, no sul da Alemanha. Desde então, os colaboradores perseguem o objetivo de cativar os seus clientes com soluções sofisticadas e contribuir para o progresso tecnológico.</w:t>
      </w:r>
    </w:p>
    <w:p w14:paraId="328E1769" w14:textId="7F9B593D" w:rsidR="009A3D17" w:rsidRPr="008B5AF8" w:rsidRDefault="003F61E0" w:rsidP="009A3D17">
      <w:pPr>
        <w:pStyle w:val="Copyhead11Pt"/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38CEF9C3" wp14:editId="01E150EB">
            <wp:simplePos x="0" y="0"/>
            <wp:positionH relativeFrom="margin">
              <wp:align>left</wp:align>
            </wp:positionH>
            <wp:positionV relativeFrom="paragraph">
              <wp:posOffset>245690</wp:posOffset>
            </wp:positionV>
            <wp:extent cx="1920941" cy="2880000"/>
            <wp:effectExtent l="0" t="0" r="3175" b="0"/>
            <wp:wrapTopAndBottom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0941" cy="28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t>Imagens</w:t>
      </w:r>
    </w:p>
    <w:p w14:paraId="362917CF" w14:textId="5D2CD155" w:rsidR="003F61E0" w:rsidRPr="003F61E0" w:rsidRDefault="00D00B47" w:rsidP="003F61E0">
      <w:pPr>
        <w:pStyle w:val="Caption9Pt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0759AFEF" wp14:editId="0F2C9666">
            <wp:simplePos x="0" y="0"/>
            <wp:positionH relativeFrom="margin">
              <wp:align>left</wp:align>
            </wp:positionH>
            <wp:positionV relativeFrom="paragraph">
              <wp:posOffset>3361055</wp:posOffset>
            </wp:positionV>
            <wp:extent cx="1920784" cy="2880000"/>
            <wp:effectExtent l="0" t="0" r="3810" b="0"/>
            <wp:wrapTopAndBottom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0784" cy="28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3F61E0">
        <w:t>liebherr-hc-l-cranes-seascape-new-zealand-01.jpg</w:t>
      </w:r>
      <w:r w:rsidR="003F61E0">
        <w:br/>
        <w:t>Dois guindastes de lança basculante da Liebherr estão ajudando a construir o edifício residencial mais alto (187</w:t>
      </w:r>
      <w:r w:rsidR="00FC0F92">
        <w:t> </w:t>
      </w:r>
      <w:r w:rsidR="003F61E0">
        <w:t xml:space="preserve">metros) da Nova Zelândia. </w:t>
      </w:r>
    </w:p>
    <w:p w14:paraId="530B3177" w14:textId="7BC3FF30" w:rsidR="003F61E0" w:rsidRDefault="003F61E0" w:rsidP="003F61E0">
      <w:pPr>
        <w:pStyle w:val="Caption9Pt"/>
      </w:pPr>
      <w:r>
        <w:lastRenderedPageBreak/>
        <w:t>liebherr-hc-l-cranes-seascape-new-zealand-02.jpg</w:t>
      </w:r>
      <w:r>
        <w:br/>
        <w:t>O 280</w:t>
      </w:r>
      <w:r w:rsidR="00FC0F92">
        <w:t> </w:t>
      </w:r>
      <w:r>
        <w:t>HC-L sobe no sistema de escalada interna 355</w:t>
      </w:r>
      <w:r w:rsidR="00FC0F92">
        <w:t> </w:t>
      </w:r>
      <w:r>
        <w:t>IC por fora do edifício.</w:t>
      </w:r>
    </w:p>
    <w:p w14:paraId="0E6569F5" w14:textId="77777777" w:rsidR="003F61E0" w:rsidRPr="003F61E0" w:rsidRDefault="003F61E0" w:rsidP="003F61E0">
      <w:pPr>
        <w:pStyle w:val="Caption9Pt"/>
      </w:pPr>
    </w:p>
    <w:p w14:paraId="2A3A687A" w14:textId="7EFF61A8" w:rsidR="003F61E0" w:rsidRPr="00E22C83" w:rsidRDefault="003F61E0" w:rsidP="003F61E0">
      <w:pPr>
        <w:pStyle w:val="Caption9Pt"/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0948811C" wp14:editId="4B1B0557">
            <wp:simplePos x="0" y="0"/>
            <wp:positionH relativeFrom="margin">
              <wp:posOffset>-635</wp:posOffset>
            </wp:positionH>
            <wp:positionV relativeFrom="paragraph">
              <wp:posOffset>249</wp:posOffset>
            </wp:positionV>
            <wp:extent cx="2519680" cy="1678305"/>
            <wp:effectExtent l="0" t="0" r="0" b="0"/>
            <wp:wrapTopAndBottom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9680" cy="1678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t>liebherr-hc-l-cranes-seascape-new-zealand-03.jpg</w:t>
      </w:r>
      <w:r>
        <w:br/>
        <w:t>O 542</w:t>
      </w:r>
      <w:r w:rsidR="00FC0F92">
        <w:t> </w:t>
      </w:r>
      <w:r>
        <w:t>HC-L desmontará o 280</w:t>
      </w:r>
      <w:r w:rsidR="00FC0F92">
        <w:t> </w:t>
      </w:r>
      <w:r>
        <w:t xml:space="preserve">HC-L após a conclusão do arranha-céu e depois descerá. </w:t>
      </w:r>
    </w:p>
    <w:p w14:paraId="34F4A13A" w14:textId="77777777" w:rsidR="00FC0F92" w:rsidRDefault="00FC0F92" w:rsidP="009A3D17">
      <w:pPr>
        <w:pStyle w:val="Copyhead11Pt"/>
      </w:pPr>
    </w:p>
    <w:p w14:paraId="3727B97E" w14:textId="77777777" w:rsidR="00FC0F92" w:rsidRDefault="00FC0F92" w:rsidP="009A3D17">
      <w:pPr>
        <w:pStyle w:val="Copyhead11Pt"/>
      </w:pPr>
    </w:p>
    <w:p w14:paraId="76D71709" w14:textId="2C398ECB" w:rsidR="009A3D17" w:rsidRPr="00BA1DEA" w:rsidRDefault="00F00ABB" w:rsidP="009A3D17">
      <w:pPr>
        <w:pStyle w:val="Copyhead11Pt"/>
      </w:pPr>
      <w:r>
        <w:t>Contato</w:t>
      </w:r>
    </w:p>
    <w:p w14:paraId="349B9D52" w14:textId="70898727" w:rsidR="009A3D17" w:rsidRPr="00A53434" w:rsidRDefault="00230C6E" w:rsidP="009A3D17">
      <w:pPr>
        <w:pStyle w:val="Copytext11Pt"/>
      </w:pPr>
      <w:r>
        <w:t>Daniel H</w:t>
      </w:r>
      <w:r w:rsidR="00D00B47">
        <w:t>ae</w:t>
      </w:r>
      <w:r>
        <w:t>fele</w:t>
      </w:r>
      <w:r>
        <w:br/>
        <w:t>Comunicação global</w:t>
      </w:r>
      <w:r>
        <w:br/>
        <w:t>Telefone: +49 7351 / 41 - 2330</w:t>
      </w:r>
      <w:r>
        <w:br/>
        <w:t xml:space="preserve">E-mail: daniel.haefele@liebherr.com </w:t>
      </w:r>
    </w:p>
    <w:p w14:paraId="50EF1FBD" w14:textId="1893B030" w:rsidR="009A3D17" w:rsidRPr="00BA1DEA" w:rsidRDefault="009A3D17" w:rsidP="009A3D17">
      <w:pPr>
        <w:pStyle w:val="Copyhead11Pt"/>
      </w:pPr>
      <w:r>
        <w:t>Publicado por</w:t>
      </w:r>
    </w:p>
    <w:p w14:paraId="4F614F17" w14:textId="552408A5" w:rsidR="00B81ED6" w:rsidRPr="00FC0F92" w:rsidRDefault="00230C6E" w:rsidP="00FC0F92">
      <w:pPr>
        <w:pStyle w:val="Text"/>
      </w:pPr>
      <w:r>
        <w:t>Liebherr-Werk Biberach GmbH</w:t>
      </w:r>
      <w:r>
        <w:br/>
        <w:t>Biberach / Alemanha</w:t>
      </w:r>
      <w:r>
        <w:br/>
        <w:t>www.liebherr.com</w:t>
      </w:r>
    </w:p>
    <w:sectPr w:rsidR="00B81ED6" w:rsidRPr="00FC0F92" w:rsidSect="00E847CC">
      <w:headerReference w:type="default" r:id="rId14"/>
      <w:footerReference w:type="default" r:id="rId15"/>
      <w:pgSz w:w="11906" w:h="16838"/>
      <w:pgMar w:top="851" w:right="851" w:bottom="1276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EF5170" w14:textId="77777777" w:rsidR="002A334C" w:rsidRDefault="002A334C" w:rsidP="00B81ED6">
      <w:pPr>
        <w:spacing w:after="0" w:line="240" w:lineRule="auto"/>
      </w:pPr>
      <w:r>
        <w:separator/>
      </w:r>
    </w:p>
  </w:endnote>
  <w:endnote w:type="continuationSeparator" w:id="0">
    <w:p w14:paraId="6230AB56" w14:textId="77777777" w:rsidR="002A334C" w:rsidRDefault="002A334C" w:rsidP="00B81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852228" w14:textId="4285E613" w:rsidR="00DF40C0" w:rsidRPr="00E847CC" w:rsidRDefault="0093605C" w:rsidP="00E847CC">
    <w:pPr>
      <w:pStyle w:val="zzPageNumberLine"/>
      <w:rPr>
        <w:rFonts w:ascii="Arial" w:hAnsi="Arial" w:cs="Arial"/>
      </w:rPr>
    </w:pP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FC0F92">
      <w:rPr>
        <w:rFonts w:ascii="Arial" w:hAnsi="Arial" w:cs="Arial"/>
        <w:noProof/>
      </w:rPr>
      <w:instrText>4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FC0F92">
      <w:rPr>
        <w:rFonts w:ascii="Arial" w:hAnsi="Arial" w:cs="Arial"/>
        <w:noProof/>
      </w:rPr>
      <w:instrText>4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FC0F92">
      <w:rPr>
        <w:rFonts w:ascii="Arial" w:hAnsi="Arial" w:cs="Arial"/>
        <w:noProof/>
      </w:rPr>
      <w:instrText>4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 xml:space="preserve">" "" </w:instrText>
    </w:r>
    <w:r w:rsidR="00FC0F92">
      <w:rPr>
        <w:rFonts w:ascii="Arial" w:hAnsi="Arial" w:cs="Arial"/>
      </w:rPr>
      <w:fldChar w:fldCharType="separate"/>
    </w:r>
    <w:r w:rsidR="00FC0F92">
      <w:rPr>
        <w:rFonts w:ascii="Arial" w:hAnsi="Arial" w:cs="Arial"/>
        <w:noProof/>
      </w:rPr>
      <w:t>4</w:t>
    </w:r>
    <w:r w:rsidR="00FC0F92" w:rsidRPr="0093605C">
      <w:rPr>
        <w:rFonts w:ascii="Arial" w:hAnsi="Arial" w:cs="Arial"/>
        <w:noProof/>
      </w:rPr>
      <w:t>/</w:t>
    </w:r>
    <w:r w:rsidR="00FC0F92">
      <w:rPr>
        <w:rFonts w:ascii="Arial" w:hAnsi="Arial" w:cs="Arial"/>
        <w:noProof/>
      </w:rPr>
      <w:t>4</w:t>
    </w:r>
    <w:r w:rsidRPr="0093605C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FEB25BC" w14:textId="77777777" w:rsidR="002A334C" w:rsidRDefault="002A334C" w:rsidP="00B81ED6">
      <w:pPr>
        <w:spacing w:after="0" w:line="240" w:lineRule="auto"/>
      </w:pPr>
      <w:r>
        <w:separator/>
      </w:r>
    </w:p>
  </w:footnote>
  <w:footnote w:type="continuationSeparator" w:id="0">
    <w:p w14:paraId="26411AB5" w14:textId="77777777" w:rsidR="002A334C" w:rsidRDefault="002A334C" w:rsidP="00B81E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B2E35B" w14:textId="77777777" w:rsidR="00E847CC" w:rsidRDefault="00E847CC">
    <w:pPr>
      <w:pStyle w:val="Kopfzeile"/>
    </w:pPr>
    <w:r>
      <w:tab/>
    </w:r>
    <w:r>
      <w:tab/>
    </w:r>
    <w:r>
      <w:ptab w:relativeTo="margin" w:alignment="right" w:leader="none"/>
    </w:r>
    <w:r>
      <w:rPr>
        <w:noProof/>
      </w:rPr>
      <w:drawing>
        <wp:inline distT="0" distB="0" distL="0" distR="0" wp14:anchorId="148B14FC" wp14:editId="36B0CBCF">
          <wp:extent cx="2167200" cy="270000"/>
          <wp:effectExtent l="0" t="0" r="508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</w:p>
  <w:p w14:paraId="60C9055B" w14:textId="77777777" w:rsidR="00E847CC" w:rsidRDefault="00E847C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47513EFA"/>
    <w:multiLevelType w:val="multilevel"/>
    <w:tmpl w:val="A12230F4"/>
    <w:numStyleLink w:val="TitleRuleListStyleLH"/>
  </w:abstractNum>
  <w:num w:numId="1" w16cid:durableId="1082027423">
    <w:abstractNumId w:val="0"/>
  </w:num>
  <w:num w:numId="2" w16cid:durableId="1392385189">
    <w:abstractNumId w:val="2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 w16cid:durableId="12622947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334C"/>
    <w:rsid w:val="00033002"/>
    <w:rsid w:val="00066E54"/>
    <w:rsid w:val="000A1ABB"/>
    <w:rsid w:val="000E3C3F"/>
    <w:rsid w:val="001218CF"/>
    <w:rsid w:val="001419B4"/>
    <w:rsid w:val="00145DB7"/>
    <w:rsid w:val="00173992"/>
    <w:rsid w:val="001A1AD7"/>
    <w:rsid w:val="001C359C"/>
    <w:rsid w:val="001F63C2"/>
    <w:rsid w:val="00226CBD"/>
    <w:rsid w:val="00230C6E"/>
    <w:rsid w:val="00256CF9"/>
    <w:rsid w:val="00263D3C"/>
    <w:rsid w:val="002A334C"/>
    <w:rsid w:val="002C3350"/>
    <w:rsid w:val="002C422B"/>
    <w:rsid w:val="002E5447"/>
    <w:rsid w:val="002F3CF1"/>
    <w:rsid w:val="00327624"/>
    <w:rsid w:val="003524D2"/>
    <w:rsid w:val="003830FF"/>
    <w:rsid w:val="003936A6"/>
    <w:rsid w:val="003F61E0"/>
    <w:rsid w:val="00406E93"/>
    <w:rsid w:val="00416CD7"/>
    <w:rsid w:val="004A0B60"/>
    <w:rsid w:val="004A3DAB"/>
    <w:rsid w:val="004B49BF"/>
    <w:rsid w:val="00556698"/>
    <w:rsid w:val="00563B96"/>
    <w:rsid w:val="005F659A"/>
    <w:rsid w:val="00652E53"/>
    <w:rsid w:val="006539E5"/>
    <w:rsid w:val="0067044D"/>
    <w:rsid w:val="006776CC"/>
    <w:rsid w:val="006A6A49"/>
    <w:rsid w:val="00741151"/>
    <w:rsid w:val="00747169"/>
    <w:rsid w:val="00761197"/>
    <w:rsid w:val="007C2DD9"/>
    <w:rsid w:val="007F2586"/>
    <w:rsid w:val="00822F8B"/>
    <w:rsid w:val="00824226"/>
    <w:rsid w:val="0090413A"/>
    <w:rsid w:val="009169F9"/>
    <w:rsid w:val="0093605C"/>
    <w:rsid w:val="00937A2C"/>
    <w:rsid w:val="00951357"/>
    <w:rsid w:val="00965077"/>
    <w:rsid w:val="009A3D17"/>
    <w:rsid w:val="009C4515"/>
    <w:rsid w:val="00A00C20"/>
    <w:rsid w:val="00A261BF"/>
    <w:rsid w:val="00A872CA"/>
    <w:rsid w:val="00AC2129"/>
    <w:rsid w:val="00AD3DA1"/>
    <w:rsid w:val="00AF1F99"/>
    <w:rsid w:val="00B81ED6"/>
    <w:rsid w:val="00BB0BFF"/>
    <w:rsid w:val="00BD7045"/>
    <w:rsid w:val="00C464EC"/>
    <w:rsid w:val="00C77574"/>
    <w:rsid w:val="00C821F7"/>
    <w:rsid w:val="00CC4E55"/>
    <w:rsid w:val="00D00B47"/>
    <w:rsid w:val="00D120D1"/>
    <w:rsid w:val="00D42D7A"/>
    <w:rsid w:val="00D63B50"/>
    <w:rsid w:val="00DF40C0"/>
    <w:rsid w:val="00E22C83"/>
    <w:rsid w:val="00E260E6"/>
    <w:rsid w:val="00E32363"/>
    <w:rsid w:val="00E714D9"/>
    <w:rsid w:val="00E847CC"/>
    <w:rsid w:val="00EA26F3"/>
    <w:rsid w:val="00F00ABB"/>
    <w:rsid w:val="00FC0F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C17A17"/>
  <w15:chartTrackingRefBased/>
  <w15:docId w15:val="{CCC0D77F-AA60-4F6D-AB2C-04A7C045C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t-BR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eastAsia="en-US"/>
    </w:rPr>
  </w:style>
  <w:style w:type="paragraph" w:styleId="Kopfzeile">
    <w:name w:val="header"/>
    <w:basedOn w:val="Standard"/>
    <w:link w:val="Kopf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81ED6"/>
  </w:style>
  <w:style w:type="paragraph" w:styleId="Fuzeile">
    <w:name w:val="footer"/>
    <w:basedOn w:val="Standard"/>
    <w:link w:val="Fu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81ED6"/>
  </w:style>
  <w:style w:type="paragraph" w:customStyle="1" w:styleId="HeadlineH233Pt">
    <w:name w:val="Headline H2 33Pt"/>
    <w:basedOn w:val="Standard"/>
    <w:link w:val="HeadlineH233PtZchn"/>
    <w:qFormat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Absatz-Standardschriftart"/>
    <w:link w:val="HeadlineH233Pt"/>
    <w:rsid w:val="00B81ED6"/>
    <w:rPr>
      <w:rFonts w:ascii="Arial" w:eastAsiaTheme="majorEastAsia" w:hAnsi="Arial" w:cstheme="majorBidi"/>
      <w:b/>
      <w:sz w:val="66"/>
      <w:szCs w:val="32"/>
      <w:lang w:eastAsia="en-US"/>
    </w:rPr>
  </w:style>
  <w:style w:type="paragraph" w:customStyle="1" w:styleId="Topline16Pt">
    <w:name w:val="Topline 16Pt"/>
    <w:link w:val="Topline16PtZchn"/>
    <w:qFormat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eastAsia="en-US"/>
    </w:rPr>
  </w:style>
  <w:style w:type="character" w:customStyle="1" w:styleId="Topline16PtZchn">
    <w:name w:val="Topline 16Pt Zchn"/>
    <w:basedOn w:val="Absatz-Standardschriftart"/>
    <w:link w:val="Topline16Pt"/>
    <w:rsid w:val="00B81ED6"/>
    <w:rPr>
      <w:rFonts w:ascii="Arial" w:eastAsiaTheme="minorHAnsi" w:hAnsi="Arial"/>
      <w:sz w:val="33"/>
      <w:szCs w:val="33"/>
      <w:lang w:val="pt-BR" w:eastAsia="en-US"/>
    </w:rPr>
  </w:style>
  <w:style w:type="paragraph" w:styleId="Titel">
    <w:name w:val="Title"/>
    <w:aliases w:val="Headline H2 33Pt."/>
    <w:basedOn w:val="Standard"/>
    <w:next w:val="TitleRuleLH"/>
    <w:link w:val="TitelZchn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eastAsia="en-US"/>
      <w14:ligatures w14:val="all"/>
    </w:rPr>
  </w:style>
  <w:style w:type="character" w:customStyle="1" w:styleId="TitelZchn">
    <w:name w:val="Titel Zchn"/>
    <w:aliases w:val="Headline H2 33Pt. Zchn"/>
    <w:basedOn w:val="Absatz-Standardschriftart"/>
    <w:link w:val="Titel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pt-BR" w:eastAsia="en-US"/>
      <w14:ligatures w14:val="all"/>
    </w:rPr>
  </w:style>
  <w:style w:type="paragraph" w:customStyle="1" w:styleId="Topline16">
    <w:name w:val="Topline 16"/>
    <w:basedOn w:val="Standard"/>
    <w:uiPriority w:val="13"/>
    <w:qFormat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eastAsia="en-US"/>
    </w:rPr>
  </w:style>
  <w:style w:type="paragraph" w:customStyle="1" w:styleId="TitleRuleLH">
    <w:name w:val="Title Rule LH"/>
    <w:basedOn w:val="Titel"/>
    <w:next w:val="Standard"/>
    <w:uiPriority w:val="11"/>
    <w:rsid w:val="00B81ED6"/>
    <w:pPr>
      <w:numPr>
        <w:numId w:val="2"/>
      </w:numPr>
    </w:p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tzhaltertext">
    <w:name w:val="Placeholder Text"/>
    <w:basedOn w:val="Absatz-Standardschriftar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Standard"/>
    <w:rsid w:val="00B81ED6"/>
    <w:pPr>
      <w:numPr>
        <w:numId w:val="3"/>
      </w:numPr>
      <w:spacing w:after="0" w:line="300" w:lineRule="exact"/>
      <w:ind w:left="782" w:hanging="357"/>
    </w:pPr>
    <w:rPr>
      <w:rFonts w:ascii="Arial" w:eastAsiaTheme="minorHAnsi" w:hAnsi="Arial" w:cs="Arial"/>
      <w:b/>
      <w:lang w:eastAsia="en-US"/>
    </w:rPr>
  </w:style>
  <w:style w:type="paragraph" w:customStyle="1" w:styleId="Copytext11Pt">
    <w:name w:val="Copytext 11Pt"/>
    <w:basedOn w:val="Standard"/>
    <w:link w:val="Copytext11PtZchn"/>
    <w:qFormat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eastAsia="de-DE"/>
    </w:rPr>
  </w:style>
  <w:style w:type="paragraph" w:customStyle="1" w:styleId="Copyhead11Pt">
    <w:name w:val="Copyhead 11Pt"/>
    <w:basedOn w:val="Standard"/>
    <w:link w:val="Copyhead11Pt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eastAsia="de-DE"/>
    </w:rPr>
  </w:style>
  <w:style w:type="paragraph" w:customStyle="1" w:styleId="Teaser11Pt">
    <w:name w:val="Teaser 11Pt"/>
    <w:basedOn w:val="Standard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eastAsia="de-DE"/>
    </w:rPr>
  </w:style>
  <w:style w:type="character" w:customStyle="1" w:styleId="Copyhead11PtZchn">
    <w:name w:val="Copyhead 11Pt Zchn"/>
    <w:basedOn w:val="Absatz-Standardschriftart"/>
    <w:link w:val="Copyhead11Pt"/>
    <w:rsid w:val="00B81ED6"/>
    <w:rPr>
      <w:rFonts w:ascii="Arial" w:eastAsia="Times New Roman" w:hAnsi="Arial" w:cs="Times New Roman"/>
      <w:b/>
      <w:szCs w:val="18"/>
      <w:lang w:val="pt-BR" w:eastAsia="de-DE"/>
    </w:rPr>
  </w:style>
  <w:style w:type="character" w:customStyle="1" w:styleId="Copytext11PtZchn">
    <w:name w:val="Copytext 11Pt Zchn"/>
    <w:basedOn w:val="Absatz-Standardschriftart"/>
    <w:link w:val="Copytext11Pt"/>
    <w:rsid w:val="00B81ED6"/>
    <w:rPr>
      <w:rFonts w:ascii="Arial" w:eastAsia="Times New Roman" w:hAnsi="Arial" w:cs="Times New Roman"/>
      <w:szCs w:val="18"/>
      <w:lang w:val="pt-BR" w:eastAsia="de-DE"/>
    </w:rPr>
  </w:style>
  <w:style w:type="character" w:customStyle="1" w:styleId="Teaser11PtZchn">
    <w:name w:val="Teaser 11Pt Zchn"/>
    <w:basedOn w:val="Absatz-Standardschriftart"/>
    <w:link w:val="Teaser11Pt"/>
    <w:rsid w:val="00B81ED6"/>
    <w:rPr>
      <w:rFonts w:ascii="Arial" w:hAnsi="Arial"/>
      <w:b/>
      <w:noProof/>
      <w:lang w:val="pt-BR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  <w:pPr>
      <w:ind w:left="284" w:hanging="284"/>
    </w:pPr>
  </w:style>
  <w:style w:type="character" w:customStyle="1" w:styleId="Bulletpoints11PtZchn">
    <w:name w:val="Bulletpoints 11Pt Zchn"/>
    <w:basedOn w:val="Absatz-Standardschriftart"/>
    <w:link w:val="Bulletpoints11Pt"/>
    <w:rsid w:val="00B81ED6"/>
    <w:rPr>
      <w:rFonts w:ascii="Arial" w:eastAsiaTheme="minorHAnsi" w:hAnsi="Arial" w:cs="Arial"/>
      <w:b/>
      <w:lang w:val="pt-BR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pt-BR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eastAsia="de-DE"/>
    </w:rPr>
  </w:style>
  <w:style w:type="paragraph" w:customStyle="1" w:styleId="Caption9Pt">
    <w:name w:val="Caption 9Pt"/>
    <w:basedOn w:val="Standard"/>
    <w:link w:val="Caption9PtZchn"/>
    <w:qFormat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B81ED6"/>
    <w:rPr>
      <w:rFonts w:ascii="Arial" w:eastAsia="Times New Roman" w:hAnsi="Arial" w:cs="Times New Roman"/>
      <w:sz w:val="18"/>
      <w:szCs w:val="18"/>
      <w:lang w:val="pt-BR" w:eastAsia="de-DE"/>
    </w:rPr>
  </w:style>
  <w:style w:type="character" w:customStyle="1" w:styleId="Caption9PtZchn">
    <w:name w:val="Caption 9Pt Zchn"/>
    <w:basedOn w:val="Absatz-Standardschriftart"/>
    <w:link w:val="Caption9Pt"/>
    <w:rsid w:val="00B81ED6"/>
    <w:rPr>
      <w:rFonts w:ascii="Arial" w:eastAsiaTheme="minorHAnsi" w:hAnsi="Arial" w:cs="Arial"/>
      <w:sz w:val="18"/>
      <w:szCs w:val="18"/>
      <w:lang w:eastAsia="en-US"/>
    </w:rPr>
  </w:style>
  <w:style w:type="table" w:styleId="Tabellenraster">
    <w:name w:val="Table Grid"/>
    <w:basedOn w:val="NormaleTabelle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Absatz-Standardschriftart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Fuzeile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eastAsia="en-US"/>
    </w:rPr>
  </w:style>
  <w:style w:type="paragraph" w:customStyle="1" w:styleId="Text">
    <w:name w:val="Text"/>
    <w:basedOn w:val="Standard"/>
    <w:link w:val="TextZchn"/>
    <w:qFormat/>
    <w:rsid w:val="00230C6E"/>
    <w:pPr>
      <w:spacing w:after="300" w:line="300" w:lineRule="exact"/>
    </w:pPr>
    <w:rPr>
      <w:rFonts w:ascii="Arial" w:eastAsia="Times New Roman" w:hAnsi="Arial" w:cs="Times New Roman"/>
      <w:szCs w:val="18"/>
      <w:lang w:eastAsia="de-DE"/>
    </w:rPr>
  </w:style>
  <w:style w:type="character" w:customStyle="1" w:styleId="TextZchn">
    <w:name w:val="Text Zchn"/>
    <w:basedOn w:val="Absatz-Standardschriftart"/>
    <w:link w:val="Text"/>
    <w:rsid w:val="00230C6E"/>
    <w:rPr>
      <w:rFonts w:ascii="Arial" w:eastAsia="Times New Roman" w:hAnsi="Arial" w:cs="Times New Roman"/>
      <w:szCs w:val="18"/>
      <w:lang w:val="pt-BR" w:eastAsia="de-DE"/>
    </w:rPr>
  </w:style>
  <w:style w:type="paragraph" w:customStyle="1" w:styleId="Zwitiklein">
    <w:name w:val="Zwiti klein"/>
    <w:link w:val="ZwitikleinZchn"/>
    <w:qFormat/>
    <w:rsid w:val="00230C6E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eastAsia="de-DE"/>
    </w:rPr>
  </w:style>
  <w:style w:type="character" w:customStyle="1" w:styleId="ZwitikleinZchn">
    <w:name w:val="Zwiti klein Zchn"/>
    <w:basedOn w:val="Absatz-Standardschriftart"/>
    <w:link w:val="Zwitiklein"/>
    <w:rsid w:val="00230C6E"/>
    <w:rPr>
      <w:rFonts w:ascii="Arial" w:eastAsia="Times New Roman" w:hAnsi="Arial" w:cs="Times New Roman"/>
      <w:b/>
      <w:sz w:val="18"/>
      <w:szCs w:val="18"/>
      <w:lang w:val="pt-BR" w:eastAsia="de-DE"/>
    </w:rPr>
  </w:style>
  <w:style w:type="paragraph" w:customStyle="1" w:styleId="InfoBU">
    <w:name w:val="Info/BU"/>
    <w:basedOn w:val="Standard"/>
    <w:link w:val="InfoBUZchn"/>
    <w:qFormat/>
    <w:rsid w:val="00230C6E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InfoBUZchn">
    <w:name w:val="Info/BU Zchn"/>
    <w:basedOn w:val="Absatz-Standardschriftart"/>
    <w:link w:val="InfoBU"/>
    <w:rsid w:val="00230C6E"/>
    <w:rPr>
      <w:rFonts w:ascii="Arial" w:eastAsiaTheme="minorHAnsi" w:hAnsi="Arial" w:cs="Arial"/>
      <w:sz w:val="18"/>
      <w:szCs w:val="18"/>
      <w:lang w:eastAsia="en-US"/>
    </w:rPr>
  </w:style>
  <w:style w:type="paragraph" w:styleId="berarbeitung">
    <w:name w:val="Revision"/>
    <w:hidden/>
    <w:uiPriority w:val="99"/>
    <w:semiHidden/>
    <w:rsid w:val="001C359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5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jpe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e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bchad3\Desktop\Vorlagen\liebherr-presseinformation-deutsch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4D2E5BA69AB0F49AEBDA0B931A285D1" ma:contentTypeVersion="15" ma:contentTypeDescription="Ein neues Dokument erstellen." ma:contentTypeScope="" ma:versionID="82bc8c0f58063f83ac3ecabe4a5b6e04">
  <xsd:schema xmlns:xsd="http://www.w3.org/2001/XMLSchema" xmlns:xs="http://www.w3.org/2001/XMLSchema" xmlns:p="http://schemas.microsoft.com/office/2006/metadata/properties" xmlns:ns2="8a583338-d06b-4077-afc2-42f30bb34c4b" xmlns:ns3="21f7d9be-73b9-4727-a20b-acc7e6305b1f" targetNamespace="http://schemas.microsoft.com/office/2006/metadata/properties" ma:root="true" ma:fieldsID="be3ee93a3f3d0e4894672ecaa86bb35c" ns2:_="" ns3:_="">
    <xsd:import namespace="8a583338-d06b-4077-afc2-42f30bb34c4b"/>
    <xsd:import namespace="21f7d9be-73b9-4727-a20b-acc7e6305b1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583338-d06b-4077-afc2-42f30bb34c4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Bildmarkierungen" ma:readOnly="false" ma:fieldId="{5cf76f15-5ced-4ddc-b409-7134ff3c332f}" ma:taxonomyMulti="true" ma:sspId="fcb9df7f-77c7-4c19-a1f0-028a04891bf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AutoKeyPoints" ma:index="2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f7d9be-73b9-4727-a20b-acc7e6305b1f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f5b46e8c-750c-4647-92aa-254b1738c966}" ma:internalName="TaxCatchAll" ma:showField="CatchAllData" ma:web="21f7d9be-73b9-4727-a20b-acc7e6305b1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a583338-d06b-4077-afc2-42f30bb34c4b">
      <Terms xmlns="http://schemas.microsoft.com/office/infopath/2007/PartnerControls"/>
    </lcf76f155ced4ddcb4097134ff3c332f>
    <TaxCatchAll xmlns="21f7d9be-73b9-4727-a20b-acc7e6305b1f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0B3FA88-F414-40F2-8E81-A1D521BED11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a583338-d06b-4077-afc2-42f30bb34c4b"/>
    <ds:schemaRef ds:uri="21f7d9be-73b9-4727-a20b-acc7e6305b1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7E929D7-AF7D-4256-A358-781FED935C7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DEDE5E7E-7F85-4F98-A901-AAD1E39676B8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  <ds:schemaRef ds:uri="8a583338-d06b-4077-afc2-42f30bb34c4b"/>
    <ds:schemaRef ds:uri="21f7d9be-73b9-4727-a20b-acc7e6305b1f"/>
  </ds:schemaRefs>
</ds:datastoreItem>
</file>

<file path=customXml/itemProps4.xml><?xml version="1.0" encoding="utf-8"?>
<ds:datastoreItem xmlns:ds="http://schemas.openxmlformats.org/officeDocument/2006/customXml" ds:itemID="{13062177-789A-4B77-B18F-D2DB2E9DF7A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liebherr-presseinformation-deutsch</Template>
  <TotalTime>0</TotalTime>
  <Pages>4</Pages>
  <Words>923</Words>
  <Characters>5816</Characters>
  <Application>Microsoft Office Word</Application>
  <DocSecurity>0</DocSecurity>
  <Lines>48</Lines>
  <Paragraphs>13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Headlin</vt:lpstr>
    </vt:vector>
  </TitlesOfParts>
  <Company>Liebherr</Company>
  <LinksUpToDate>false</LinksUpToDate>
  <CharactersWithSpaces>6726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</dc:title>
  <dc:subject/>
  <dc:creator>Haefele Daniel (LBC)</dc:creator>
  <cp:keywords/>
  <dc:description/>
  <cp:lastModifiedBy>Kuzia Astrid (LBC)</cp:lastModifiedBy>
  <cp:revision>10</cp:revision>
  <dcterms:created xsi:type="dcterms:W3CDTF">2023-04-03T09:12:00Z</dcterms:created>
  <dcterms:modified xsi:type="dcterms:W3CDTF">2023-06-05T13:08:00Z</dcterms:modified>
  <cp:category>Presseinformation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0x01010004D2E5BA69AB0F49AEBDA0B931A285D1</vt:lpwstr>
  </property>
</Properties>
</file>