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7C72" w14:textId="77777777" w:rsidR="003D54CC" w:rsidRPr="00CA1F40" w:rsidRDefault="00E847CC" w:rsidP="00E847CC">
      <w:pPr>
        <w:pStyle w:val="Topline16Pt"/>
        <w:rPr>
          <w:rFonts w:cs="Arial"/>
        </w:rPr>
      </w:pPr>
      <w:bookmarkStart w:id="0" w:name="_Hlk95121597"/>
      <w:r w:rsidRPr="00CA1F40">
        <w:rPr>
          <w:rFonts w:cs="Arial"/>
        </w:rPr>
        <w:t>Press release</w:t>
      </w:r>
    </w:p>
    <w:p w14:paraId="4FA1EEBE" w14:textId="120E2DA8" w:rsidR="00E847CC" w:rsidRPr="00CA1F40" w:rsidRDefault="00CD07BF" w:rsidP="00E847CC">
      <w:pPr>
        <w:pStyle w:val="HeadlineH233Pt"/>
        <w:spacing w:line="240" w:lineRule="auto"/>
        <w:rPr>
          <w:rFonts w:cs="Arial"/>
        </w:rPr>
      </w:pPr>
      <w:r w:rsidRPr="00CA1F40">
        <w:rPr>
          <w:rFonts w:cs="Arial"/>
        </w:rPr>
        <w:t xml:space="preserve">Liebherr receives major order including new flagship for MSG </w:t>
      </w:r>
      <w:proofErr w:type="spellStart"/>
      <w:r w:rsidRPr="00CA1F40">
        <w:rPr>
          <w:rFonts w:cs="Arial"/>
        </w:rPr>
        <w:t>Krandienst</w:t>
      </w:r>
      <w:proofErr w:type="spellEnd"/>
    </w:p>
    <w:p w14:paraId="40843477" w14:textId="4A709F72" w:rsidR="00827B5A" w:rsidRPr="00CA1F40" w:rsidRDefault="00B81ED6" w:rsidP="006F71BD">
      <w:pPr>
        <w:pStyle w:val="HeadlineH233Pt"/>
        <w:spacing w:before="240" w:after="240" w:line="140" w:lineRule="exact"/>
        <w:rPr>
          <w:rFonts w:cs="Arial"/>
        </w:rPr>
      </w:pPr>
      <w:r w:rsidRPr="00CA1F40">
        <w:rPr>
          <w:rFonts w:ascii="Tahoma" w:hAnsi="Tahoma" w:cs="Tahoma"/>
        </w:rPr>
        <w:t>⸺</w:t>
      </w:r>
    </w:p>
    <w:p w14:paraId="466631E8" w14:textId="47707F70" w:rsidR="001B6F59" w:rsidRPr="00CA1F40" w:rsidRDefault="00B80C5F" w:rsidP="001B6F59">
      <w:pPr>
        <w:pStyle w:val="Bulletpoints11Pt"/>
      </w:pPr>
      <w:r w:rsidRPr="00CA1F40">
        <w:t xml:space="preserve">MSG purchases 13 Liebherr mobile cranes </w:t>
      </w:r>
    </w:p>
    <w:p w14:paraId="095C8170" w14:textId="53F78375" w:rsidR="00CD07BF" w:rsidRPr="00CA1F40" w:rsidRDefault="000A216F" w:rsidP="001B6F59">
      <w:pPr>
        <w:pStyle w:val="Bulletpoints11Pt"/>
      </w:pPr>
      <w:r w:rsidRPr="00CA1F40">
        <w:t>The LTM 1750-9.1 becomes the customer's new flagship</w:t>
      </w:r>
    </w:p>
    <w:p w14:paraId="7A1818A7" w14:textId="677F7A65" w:rsidR="00CE7757" w:rsidRPr="00CA1F40" w:rsidRDefault="003131FC" w:rsidP="00AC6B02">
      <w:pPr>
        <w:pStyle w:val="Bulletpoints11Pt"/>
      </w:pPr>
      <w:r w:rsidRPr="00CA1F40">
        <w:t>Technology, design, value retention as well as uniform controls across all cranes were important factors behind the purchase decision</w:t>
      </w:r>
    </w:p>
    <w:p w14:paraId="59BE5A3E" w14:textId="2ACCD298" w:rsidR="005428DA" w:rsidRPr="00CA1F40" w:rsidRDefault="00D2656D" w:rsidP="00F6597F">
      <w:pPr>
        <w:pStyle w:val="Teaser11Pt"/>
        <w:rPr>
          <w:rFonts w:cs="Arial"/>
        </w:rPr>
      </w:pPr>
      <w:r w:rsidRPr="00CA1F40">
        <w:rPr>
          <w:rFonts w:cs="Arial"/>
        </w:rPr>
        <w:t xml:space="preserve">The crane company MSG Krandienst GmbH based in southern Germany has purchased 13 new mobile cranes from Liebherr. This major order also includes an 800-tonne LTM 1750-9.1 that will become MSG's new flagship. In addition to technical considerations, Liebherr's aftersales service and the long-term value retention of its cranes, Liebherr's universal control system, which is the same for all cranes, was a key factor in MSG's purchasing decision. </w:t>
      </w:r>
    </w:p>
    <w:p w14:paraId="15246676" w14:textId="2DED2175" w:rsidR="00790B60" w:rsidRPr="00CA1F40" w:rsidRDefault="00F07120" w:rsidP="00F6597F">
      <w:pPr>
        <w:pStyle w:val="Copytext11Pt"/>
        <w:rPr>
          <w:rFonts w:cs="Arial"/>
        </w:rPr>
      </w:pPr>
      <w:proofErr w:type="spellStart"/>
      <w:r w:rsidRPr="00CA1F40">
        <w:rPr>
          <w:rFonts w:cs="Arial"/>
        </w:rPr>
        <w:t>Ehingen</w:t>
      </w:r>
      <w:proofErr w:type="spellEnd"/>
      <w:r w:rsidRPr="00CA1F40">
        <w:rPr>
          <w:rFonts w:cs="Arial"/>
        </w:rPr>
        <w:t xml:space="preserve"> (Donau) (Germany), </w:t>
      </w:r>
      <w:r w:rsidR="00456EAF">
        <w:rPr>
          <w:rFonts w:cs="Arial"/>
        </w:rPr>
        <w:t>1</w:t>
      </w:r>
      <w:r w:rsidR="00456EAF" w:rsidRPr="00456EAF">
        <w:rPr>
          <w:rFonts w:cs="Arial"/>
          <w:vertAlign w:val="superscript"/>
        </w:rPr>
        <w:t>st</w:t>
      </w:r>
      <w:r w:rsidR="00456EAF">
        <w:rPr>
          <w:rFonts w:cs="Arial"/>
        </w:rPr>
        <w:t xml:space="preserve"> March</w:t>
      </w:r>
      <w:r w:rsidRPr="00CA1F40">
        <w:rPr>
          <w:rFonts w:cs="Arial"/>
        </w:rPr>
        <w:t xml:space="preserve"> 2023 – The major order placed by MSG </w:t>
      </w:r>
      <w:proofErr w:type="spellStart"/>
      <w:r w:rsidRPr="00CA1F40">
        <w:rPr>
          <w:rFonts w:cs="Arial"/>
        </w:rPr>
        <w:t>Krandienst</w:t>
      </w:r>
      <w:proofErr w:type="spellEnd"/>
      <w:r w:rsidRPr="00CA1F40">
        <w:rPr>
          <w:rFonts w:cs="Arial"/>
        </w:rPr>
        <w:t xml:space="preserve"> GmbH includes five LTM 1060-3.1 cranes, four LTM 1090-4.2, two LTM 1230-5.1, one LTC 1050-3.1 and one LTM 1750-9.1. Besides other criteria, the existence of a uniform crane control system across all models convinced MSG to choose Liebherr. "Above all, we wanted to standardise our 3- and 4-axle crane class. For our drivers, switching between Liebherr cranes is much easier because they all have the same control system. We can also create significant synergies in the workshop," explains </w:t>
      </w:r>
      <w:proofErr w:type="spellStart"/>
      <w:r w:rsidRPr="00CA1F40">
        <w:rPr>
          <w:rFonts w:cs="Arial"/>
        </w:rPr>
        <w:t>Bjoern</w:t>
      </w:r>
      <w:proofErr w:type="spellEnd"/>
      <w:r w:rsidRPr="00CA1F40">
        <w:rPr>
          <w:rFonts w:cs="Arial"/>
        </w:rPr>
        <w:t xml:space="preserve"> Jatz, Managing Director of MSG. The new cranes will partly replace MSG's older 3-axle models. In total, MSG is increasing its crane fleet to 50 machines, which are mainly used in industrial, plant, </w:t>
      </w:r>
      <w:proofErr w:type="gramStart"/>
      <w:r w:rsidRPr="00CA1F40">
        <w:rPr>
          <w:rFonts w:cs="Arial"/>
        </w:rPr>
        <w:t>steel</w:t>
      </w:r>
      <w:proofErr w:type="gramEnd"/>
      <w:r w:rsidRPr="00CA1F40">
        <w:rPr>
          <w:rFonts w:cs="Arial"/>
        </w:rPr>
        <w:t xml:space="preserve"> and commercial construction, as well as in precast concrete and petrochemical assembly.</w:t>
      </w:r>
    </w:p>
    <w:p w14:paraId="4EC750D7" w14:textId="0F6640BC" w:rsidR="00031EA1" w:rsidRPr="00CA1F40" w:rsidRDefault="000A216F" w:rsidP="00F6597F">
      <w:pPr>
        <w:pStyle w:val="Copyhead11Pt"/>
        <w:rPr>
          <w:rFonts w:cs="Arial"/>
        </w:rPr>
      </w:pPr>
      <w:r w:rsidRPr="00CA1F40">
        <w:rPr>
          <w:rFonts w:cs="Arial"/>
          <w:shd w:val="clear" w:color="auto" w:fill="FFFFFF"/>
        </w:rPr>
        <w:t xml:space="preserve">LTM 1750-9.1 </w:t>
      </w:r>
      <w:r w:rsidRPr="00CA1F40">
        <w:rPr>
          <w:rFonts w:cs="Arial"/>
        </w:rPr>
        <w:t>–</w:t>
      </w:r>
      <w:r w:rsidRPr="00CA1F40">
        <w:rPr>
          <w:rFonts w:cs="Arial"/>
          <w:shd w:val="clear" w:color="auto" w:fill="FFFFFF"/>
        </w:rPr>
        <w:t xml:space="preserve"> the new flagship for MSG</w:t>
      </w:r>
    </w:p>
    <w:p w14:paraId="424E474A" w14:textId="6C17DF21" w:rsidR="005116C9" w:rsidRPr="00CA1F40" w:rsidRDefault="00B904B9" w:rsidP="00F6597F">
      <w:pPr>
        <w:pStyle w:val="Copytext11Pt"/>
        <w:rPr>
          <w:rFonts w:cs="Arial"/>
          <w:color w:val="FF0000"/>
        </w:rPr>
      </w:pPr>
      <w:r w:rsidRPr="00CA1F40">
        <w:rPr>
          <w:rFonts w:cs="Arial"/>
        </w:rPr>
        <w:t xml:space="preserve">As the largest and most powerful mobile crane in this large order, the LTM 1750-9.1 will become MSG's new flagship. "Future markets in infrastructure, bridge construction and renewable energy will come into focus and offer a lot of potential. That's why we decided to purchase a new crane for these areas, the LTM 1750-9.1. It will perfectly complement our existing heavy cranes, which include the LTM 1450-8.1 and LTM 1650-8.1." The 9-axle crane can carry the complete telescopic boom on public roads with a 12-tonne axle load. In addition, thanks to the removable boom, it can be unloaded to achieve an axle load of less than 10 tonnes, which offers advantages in terms of driving permits. "The LTM 1750-9.1 is the most powerful crane in its class and the 800-tonne upgrade makes it even more capable," says Jatz. "The machine is technically state-of-the-art and prepares </w:t>
      </w:r>
      <w:r w:rsidRPr="00CA1F40">
        <w:rPr>
          <w:rFonts w:cs="Arial"/>
          <w:color w:val="000000" w:themeColor="text1"/>
        </w:rPr>
        <w:t>us very well for the future."</w:t>
      </w:r>
    </w:p>
    <w:p w14:paraId="2A9605D4" w14:textId="77777777" w:rsidR="00E911E7" w:rsidRPr="00CA1F40" w:rsidRDefault="00E911E7" w:rsidP="00E911E7">
      <w:pPr>
        <w:pStyle w:val="Copyhead11Pt"/>
        <w:rPr>
          <w:rFonts w:cs="Arial"/>
          <w:lang w:val="en-US"/>
        </w:rPr>
      </w:pPr>
    </w:p>
    <w:p w14:paraId="5134B193" w14:textId="16C26A95" w:rsidR="005116C9" w:rsidRPr="00CA1F40" w:rsidRDefault="00C1330F" w:rsidP="00F6597F">
      <w:pPr>
        <w:pStyle w:val="Copyhead11Pt"/>
        <w:rPr>
          <w:rFonts w:cs="Arial"/>
          <w:b w:val="0"/>
        </w:rPr>
      </w:pPr>
      <w:r w:rsidRPr="00CA1F40">
        <w:rPr>
          <w:rFonts w:cs="Arial"/>
        </w:rPr>
        <w:lastRenderedPageBreak/>
        <w:t xml:space="preserve">Many reasons to choose Liebherr </w:t>
      </w:r>
    </w:p>
    <w:p w14:paraId="364BDF41" w14:textId="43E27D20" w:rsidR="005116C9" w:rsidRPr="00CA1F40" w:rsidRDefault="005C68AF" w:rsidP="00F6597F">
      <w:pPr>
        <w:pStyle w:val="Copytext11Pt"/>
        <w:rPr>
          <w:rFonts w:cs="Arial"/>
        </w:rPr>
      </w:pPr>
      <w:r w:rsidRPr="00CA1F40">
        <w:rPr>
          <w:rFonts w:cs="Arial"/>
        </w:rPr>
        <w:t xml:space="preserve">High quality products, efficient order processing and a reliable, responsive aftersales service are key criteria for MSG. In addition to the uniform control system, Jatz cites other factors in his decision to work with Liebherr: "The </w:t>
      </w:r>
      <w:proofErr w:type="spellStart"/>
      <w:r w:rsidRPr="00CA1F40">
        <w:rPr>
          <w:rFonts w:cs="Arial"/>
        </w:rPr>
        <w:t>VarioBase</w:t>
      </w:r>
      <w:proofErr w:type="spellEnd"/>
      <w:r w:rsidRPr="00CA1F40">
        <w:rPr>
          <w:rFonts w:cs="Arial"/>
          <w:vertAlign w:val="superscript"/>
        </w:rPr>
        <w:t>®</w:t>
      </w:r>
      <w:r w:rsidRPr="00CA1F40">
        <w:rPr>
          <w:rFonts w:cs="Arial"/>
        </w:rPr>
        <w:t xml:space="preserve"> and </w:t>
      </w:r>
      <w:proofErr w:type="spellStart"/>
      <w:r w:rsidRPr="00CA1F40">
        <w:rPr>
          <w:rFonts w:cs="Arial"/>
        </w:rPr>
        <w:t>VarioBallast</w:t>
      </w:r>
      <w:proofErr w:type="spellEnd"/>
      <w:r w:rsidRPr="00CA1F40">
        <w:rPr>
          <w:rFonts w:cs="Arial"/>
          <w:vertAlign w:val="superscript"/>
        </w:rPr>
        <w:t>®</w:t>
      </w:r>
      <w:r w:rsidRPr="00CA1F40">
        <w:rPr>
          <w:rFonts w:cs="Arial"/>
        </w:rPr>
        <w:t xml:space="preserve"> technology, the machine design and the excellent value of the Liebherr cranes convinced us."</w:t>
      </w:r>
    </w:p>
    <w:p w14:paraId="5B89B001" w14:textId="4B4F936A" w:rsidR="00E911E7" w:rsidRPr="00CA1F40" w:rsidRDefault="00E911E7" w:rsidP="00F6597F">
      <w:pPr>
        <w:pStyle w:val="Copyhead11Pt"/>
        <w:rPr>
          <w:rFonts w:cs="Arial"/>
          <w:shd w:val="clear" w:color="auto" w:fill="FFFFFF"/>
        </w:rPr>
      </w:pPr>
      <w:r w:rsidRPr="00CA1F40">
        <w:rPr>
          <w:rFonts w:cs="Arial"/>
          <w:shd w:val="clear" w:color="auto" w:fill="FFFFFF"/>
        </w:rPr>
        <w:t xml:space="preserve">About MSG </w:t>
      </w:r>
      <w:proofErr w:type="spellStart"/>
      <w:r w:rsidRPr="00CA1F40">
        <w:rPr>
          <w:rFonts w:cs="Arial"/>
          <w:shd w:val="clear" w:color="auto" w:fill="FFFFFF"/>
        </w:rPr>
        <w:t>Krandienst</w:t>
      </w:r>
      <w:proofErr w:type="spellEnd"/>
      <w:r w:rsidRPr="00CA1F40">
        <w:rPr>
          <w:rFonts w:cs="Arial"/>
          <w:shd w:val="clear" w:color="auto" w:fill="FFFFFF"/>
        </w:rPr>
        <w:t xml:space="preserve"> GmbH</w:t>
      </w:r>
    </w:p>
    <w:p w14:paraId="5D2302B0" w14:textId="5D387FBF" w:rsidR="001D15A7" w:rsidRPr="00CA1F40" w:rsidRDefault="005116C9" w:rsidP="00F6597F">
      <w:pPr>
        <w:pStyle w:val="Copytext11Pt"/>
        <w:rPr>
          <w:rFonts w:cs="Arial"/>
        </w:rPr>
      </w:pPr>
      <w:r w:rsidRPr="00CA1F40">
        <w:rPr>
          <w:rFonts w:cs="Arial"/>
        </w:rPr>
        <w:t xml:space="preserve">MSG </w:t>
      </w:r>
      <w:proofErr w:type="spellStart"/>
      <w:r w:rsidRPr="00CA1F40">
        <w:rPr>
          <w:rFonts w:cs="Arial"/>
        </w:rPr>
        <w:t>Krandienst</w:t>
      </w:r>
      <w:proofErr w:type="spellEnd"/>
      <w:r w:rsidRPr="00CA1F40">
        <w:rPr>
          <w:rFonts w:cs="Arial"/>
        </w:rPr>
        <w:t xml:space="preserve"> GmbH was founded in 1993 and currently employs around 120 people. MSG has long been broadly positioned in the small to medium crane class from 40 to 200 tonnes. In recent years, the company has also steadily expanded its fleet to include heavy-duty machines – up to and including the new Liebherr 800-tonner. The company, which operates two locations in Baden and one in Alsace, works across borders in Germany and France. </w:t>
      </w:r>
    </w:p>
    <w:p w14:paraId="05CFAB79" w14:textId="77777777" w:rsidR="00C1330F" w:rsidRPr="00CA1F40" w:rsidRDefault="00C1330F" w:rsidP="00755D2A">
      <w:pPr>
        <w:spacing w:after="240"/>
        <w:rPr>
          <w:rFonts w:ascii="Arial" w:hAnsi="Arial" w:cs="Arial"/>
        </w:rPr>
      </w:pPr>
    </w:p>
    <w:p w14:paraId="26E43240" w14:textId="77777777" w:rsidR="007A7F79" w:rsidRPr="00CA1F40" w:rsidRDefault="007A7F79" w:rsidP="00EB2E1D">
      <w:pPr>
        <w:pStyle w:val="BoilerplateCopyhead9Pt"/>
      </w:pPr>
      <w:r w:rsidRPr="00CA1F40">
        <w:t>About Liebherr-</w:t>
      </w:r>
      <w:proofErr w:type="spellStart"/>
      <w:r w:rsidRPr="00CA1F40">
        <w:t>Werk</w:t>
      </w:r>
      <w:proofErr w:type="spellEnd"/>
      <w:r w:rsidRPr="00CA1F40">
        <w:t xml:space="preserve"> </w:t>
      </w:r>
      <w:proofErr w:type="spellStart"/>
      <w:r w:rsidRPr="00CA1F40">
        <w:t>Ehingen</w:t>
      </w:r>
      <w:proofErr w:type="spellEnd"/>
      <w:r w:rsidRPr="00CA1F40">
        <w:t xml:space="preserve"> GmbH</w:t>
      </w:r>
    </w:p>
    <w:p w14:paraId="1B6878BD" w14:textId="77777777" w:rsidR="007A7F79" w:rsidRPr="00CA1F40" w:rsidRDefault="007A7F79" w:rsidP="00EB2E1D">
      <w:pPr>
        <w:pStyle w:val="BoilerplateCopytext9Pt"/>
      </w:pPr>
      <w:r w:rsidRPr="00CA1F40">
        <w:t>Liebherr-</w:t>
      </w:r>
      <w:proofErr w:type="spellStart"/>
      <w:r w:rsidRPr="00CA1F40">
        <w:t>Werk</w:t>
      </w:r>
      <w:proofErr w:type="spellEnd"/>
      <w:r w:rsidRPr="00CA1F40">
        <w:t xml:space="preserve"> </w:t>
      </w:r>
      <w:proofErr w:type="spellStart"/>
      <w:r w:rsidRPr="00CA1F40">
        <w:t>Ehingen</w:t>
      </w:r>
      <w:proofErr w:type="spellEnd"/>
      <w:r w:rsidRPr="00CA1F40">
        <w:t xml:space="preserve"> GmbH is a leading manufacturer of mobile and crawler cranes. Its range of mobile cranes extends from 2-axle 35 tonne cranes to heavy duty cranes with a lifting capacity of 1200 tonnes and a 9-axle chassis. Its lattice boom cranes on </w:t>
      </w:r>
      <w:proofErr w:type="gramStart"/>
      <w:r w:rsidRPr="00CA1F40">
        <w:t>mobile</w:t>
      </w:r>
      <w:proofErr w:type="gramEnd"/>
      <w:r w:rsidRPr="00CA1F40">
        <w:t xml:space="preserve"> or crawler crane chassis deliver lifting capacities of up to 3000 tonnes. With universal boom systems and extensive additional equipment, they can be seen in action on construction sites throughout the world. The </w:t>
      </w:r>
      <w:proofErr w:type="spellStart"/>
      <w:r w:rsidRPr="00CA1F40">
        <w:t>Ehingen</w:t>
      </w:r>
      <w:proofErr w:type="spellEnd"/>
      <w:r w:rsidRPr="00CA1F40">
        <w:t xml:space="preserve"> site has a workforce of 3,800. Extensive, global service guarantees the high availability of Liebherr mobile and crawler cranes. In 2021, the Liebherr plant in </w:t>
      </w:r>
      <w:proofErr w:type="spellStart"/>
      <w:r w:rsidRPr="00CA1F40">
        <w:t>Ehingen</w:t>
      </w:r>
      <w:proofErr w:type="spellEnd"/>
      <w:r w:rsidRPr="00CA1F40">
        <w:t xml:space="preserve"> recorded a turnover of 2.33 billion euros.</w:t>
      </w:r>
    </w:p>
    <w:p w14:paraId="11EC9E54" w14:textId="77777777" w:rsidR="007A7F79" w:rsidRPr="00CA1F40" w:rsidRDefault="007A7F79" w:rsidP="00EB2E1D">
      <w:pPr>
        <w:pStyle w:val="BoilerplateCopyhead9Pt"/>
      </w:pPr>
      <w:r w:rsidRPr="00CA1F40">
        <w:t>About the Liebherr Group</w:t>
      </w:r>
    </w:p>
    <w:p w14:paraId="3D82A610" w14:textId="77777777" w:rsidR="007A7F79" w:rsidRPr="00CA1F40" w:rsidRDefault="007A7F79" w:rsidP="007A7F79">
      <w:pPr>
        <w:pStyle w:val="LHbase-type11ptbold"/>
        <w:spacing w:line="276" w:lineRule="auto"/>
        <w:rPr>
          <w:rFonts w:cs="Arial"/>
          <w:sz w:val="18"/>
          <w:szCs w:val="18"/>
        </w:rPr>
      </w:pPr>
    </w:p>
    <w:p w14:paraId="58299614" w14:textId="77777777" w:rsidR="007A7F79" w:rsidRPr="00CA1F40" w:rsidRDefault="007A7F79" w:rsidP="00EB2E1D">
      <w:pPr>
        <w:pStyle w:val="BoilerplateCopytext9Pt"/>
      </w:pPr>
      <w:r w:rsidRPr="00CA1F40">
        <w:t xml:space="preserve">The Liebherr Group is a family-run technology company with a highly diversified product portfolio. The company is one of the largest construction equipment manufacturers in the world. It also provides high-quality and user-oriented products and services in a wide range of other areas. The Liebherr Group includes over 140 companies across all continents. In 2021, it employed more than 49,000 staff and achieved combined revenues of over 11.6 billion euros. Liebherr was founded in </w:t>
      </w:r>
      <w:proofErr w:type="spellStart"/>
      <w:r w:rsidRPr="00CA1F40">
        <w:t>Kirchdorf</w:t>
      </w:r>
      <w:proofErr w:type="spellEnd"/>
      <w:r w:rsidRPr="00CA1F40">
        <w:t xml:space="preserve"> an der </w:t>
      </w:r>
      <w:proofErr w:type="spellStart"/>
      <w:r w:rsidRPr="00CA1F40">
        <w:t>Iller</w:t>
      </w:r>
      <w:proofErr w:type="spellEnd"/>
      <w:r w:rsidRPr="00CA1F40">
        <w:t xml:space="preserve"> in Southern Germany in 1949. Since then, the employees have been pursuing the goal of achieving continuous technological </w:t>
      </w:r>
      <w:proofErr w:type="gramStart"/>
      <w:r w:rsidRPr="00CA1F40">
        <w:t>innovation, and</w:t>
      </w:r>
      <w:proofErr w:type="gramEnd"/>
      <w:r w:rsidRPr="00CA1F40">
        <w:t xml:space="preserve"> bringing industry-leading solutions to its customers.</w:t>
      </w:r>
    </w:p>
    <w:p w14:paraId="38AACBC4" w14:textId="77777777" w:rsidR="000300E4" w:rsidRPr="00CA1F40" w:rsidRDefault="000300E4" w:rsidP="001D15A7">
      <w:pPr>
        <w:spacing w:after="300" w:line="300" w:lineRule="exact"/>
        <w:rPr>
          <w:rFonts w:ascii="Arial" w:eastAsia="Times New Roman" w:hAnsi="Arial" w:cs="Arial"/>
          <w:b/>
          <w:szCs w:val="18"/>
          <w:lang w:eastAsia="de-DE"/>
        </w:rPr>
      </w:pPr>
    </w:p>
    <w:p w14:paraId="54FEED02" w14:textId="77777777" w:rsidR="00E911E7" w:rsidRPr="00CA1F40" w:rsidRDefault="00E911E7" w:rsidP="001D15A7">
      <w:pPr>
        <w:spacing w:after="300" w:line="300" w:lineRule="exact"/>
        <w:rPr>
          <w:rFonts w:ascii="Arial" w:eastAsia="Times New Roman" w:hAnsi="Arial" w:cs="Arial"/>
          <w:b/>
          <w:szCs w:val="18"/>
          <w:lang w:eastAsia="de-DE"/>
        </w:rPr>
      </w:pPr>
    </w:p>
    <w:p w14:paraId="1ECC9E37" w14:textId="77777777" w:rsidR="00E911E7" w:rsidRPr="00CA1F40" w:rsidRDefault="00E911E7" w:rsidP="001D15A7">
      <w:pPr>
        <w:spacing w:after="300" w:line="300" w:lineRule="exact"/>
        <w:rPr>
          <w:rFonts w:ascii="Arial" w:eastAsia="Times New Roman" w:hAnsi="Arial" w:cs="Arial"/>
          <w:b/>
          <w:szCs w:val="18"/>
          <w:lang w:eastAsia="de-DE"/>
        </w:rPr>
      </w:pPr>
    </w:p>
    <w:p w14:paraId="70461CFF" w14:textId="77777777" w:rsidR="00E911E7" w:rsidRPr="00CA1F40" w:rsidRDefault="00E911E7" w:rsidP="001D15A7">
      <w:pPr>
        <w:spacing w:after="300" w:line="300" w:lineRule="exact"/>
        <w:rPr>
          <w:rFonts w:ascii="Arial" w:eastAsia="Times New Roman" w:hAnsi="Arial" w:cs="Arial"/>
          <w:b/>
          <w:szCs w:val="18"/>
          <w:lang w:eastAsia="de-DE"/>
        </w:rPr>
      </w:pPr>
    </w:p>
    <w:p w14:paraId="23087477" w14:textId="77777777" w:rsidR="00E911E7" w:rsidRPr="00CA1F40" w:rsidRDefault="00E911E7" w:rsidP="001D15A7">
      <w:pPr>
        <w:spacing w:after="300" w:line="300" w:lineRule="exact"/>
        <w:rPr>
          <w:rFonts w:ascii="Arial" w:eastAsia="Times New Roman" w:hAnsi="Arial" w:cs="Arial"/>
          <w:b/>
          <w:szCs w:val="18"/>
          <w:lang w:eastAsia="de-DE"/>
        </w:rPr>
      </w:pPr>
    </w:p>
    <w:p w14:paraId="2AE1A838" w14:textId="77777777" w:rsidR="00E911E7" w:rsidRPr="00CA1F40" w:rsidRDefault="00E911E7" w:rsidP="001D15A7">
      <w:pPr>
        <w:spacing w:after="300" w:line="300" w:lineRule="exact"/>
        <w:rPr>
          <w:rFonts w:ascii="Arial" w:eastAsia="Times New Roman" w:hAnsi="Arial" w:cs="Arial"/>
          <w:b/>
          <w:szCs w:val="18"/>
          <w:lang w:eastAsia="de-DE"/>
        </w:rPr>
      </w:pPr>
    </w:p>
    <w:p w14:paraId="206B2913" w14:textId="77777777" w:rsidR="00E911E7" w:rsidRPr="00CA1F40" w:rsidRDefault="00E911E7" w:rsidP="001D15A7">
      <w:pPr>
        <w:spacing w:after="300" w:line="300" w:lineRule="exact"/>
        <w:rPr>
          <w:rFonts w:ascii="Arial" w:eastAsia="Times New Roman" w:hAnsi="Arial" w:cs="Arial"/>
          <w:b/>
          <w:szCs w:val="18"/>
          <w:lang w:eastAsia="de-DE"/>
        </w:rPr>
      </w:pPr>
    </w:p>
    <w:p w14:paraId="3F5DF85C" w14:textId="48D4A282" w:rsidR="00802113" w:rsidRPr="00CA1F40" w:rsidRDefault="006228BF" w:rsidP="001D15A7">
      <w:pPr>
        <w:spacing w:after="300" w:line="300" w:lineRule="exact"/>
        <w:rPr>
          <w:rFonts w:ascii="Arial" w:eastAsia="Times New Roman" w:hAnsi="Arial" w:cs="Arial"/>
          <w:b/>
          <w:szCs w:val="18"/>
        </w:rPr>
      </w:pPr>
      <w:r w:rsidRPr="00CA1F40">
        <w:rPr>
          <w:rFonts w:ascii="Arial" w:hAnsi="Arial" w:cs="Arial"/>
          <w:b/>
        </w:rPr>
        <w:lastRenderedPageBreak/>
        <w:t>Image</w:t>
      </w:r>
    </w:p>
    <w:p w14:paraId="15F25D80" w14:textId="77777777" w:rsidR="00DB26DB" w:rsidRPr="00CA1F40" w:rsidRDefault="00DB26DB" w:rsidP="00802113">
      <w:pPr>
        <w:pStyle w:val="Listenabsatz"/>
        <w:spacing w:after="300"/>
        <w:ind w:left="0"/>
        <w:rPr>
          <w:rFonts w:ascii="Arial" w:hAnsi="Arial" w:cs="Arial"/>
          <w:sz w:val="18"/>
          <w:szCs w:val="18"/>
        </w:rPr>
      </w:pPr>
      <w:r w:rsidRPr="00CA1F40">
        <w:rPr>
          <w:rFonts w:ascii="Arial" w:hAnsi="Arial" w:cs="Arial"/>
          <w:noProof/>
        </w:rPr>
        <w:drawing>
          <wp:inline distT="0" distB="0" distL="0" distR="0" wp14:anchorId="430A65F3" wp14:editId="0184E448">
            <wp:extent cx="3898900" cy="2599394"/>
            <wp:effectExtent l="0" t="0" r="6350" b="0"/>
            <wp:docPr id="1" name="Grafik 1" descr="Ein Bild, das Text, draußen, Himmel,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Himmel, LKW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2256" cy="2608298"/>
                    </a:xfrm>
                    <a:prstGeom prst="rect">
                      <a:avLst/>
                    </a:prstGeom>
                    <a:noFill/>
                    <a:ln>
                      <a:noFill/>
                    </a:ln>
                  </pic:spPr>
                </pic:pic>
              </a:graphicData>
            </a:graphic>
          </wp:inline>
        </w:drawing>
      </w:r>
      <w:r w:rsidRPr="00CA1F40">
        <w:rPr>
          <w:rFonts w:ascii="Arial" w:hAnsi="Arial" w:cs="Arial"/>
          <w:sz w:val="18"/>
        </w:rPr>
        <w:t xml:space="preserve"> </w:t>
      </w:r>
    </w:p>
    <w:p w14:paraId="79ED8932" w14:textId="20B6CF16" w:rsidR="00802113" w:rsidRPr="00CA1F40" w:rsidRDefault="00802113" w:rsidP="00F6597F">
      <w:pPr>
        <w:pStyle w:val="Caption9Pt"/>
      </w:pPr>
      <w:r w:rsidRPr="00CA1F40">
        <w:t>lwe-ltm-1750-9-1-handover-msg.jpg</w:t>
      </w:r>
      <w:r w:rsidRPr="00CA1F40">
        <w:rPr>
          <w:color w:val="FF0000"/>
        </w:rPr>
        <w:br/>
      </w:r>
      <w:r w:rsidRPr="00CA1F40">
        <w:t>Handover of the new flagship crane in the MSG fleet: Joachim Sommer (Liebherr-</w:t>
      </w:r>
      <w:proofErr w:type="spellStart"/>
      <w:r w:rsidRPr="00CA1F40">
        <w:t>Werk</w:t>
      </w:r>
      <w:proofErr w:type="spellEnd"/>
      <w:r w:rsidRPr="00CA1F40">
        <w:t xml:space="preserve"> </w:t>
      </w:r>
      <w:proofErr w:type="spellStart"/>
      <w:r w:rsidRPr="00CA1F40">
        <w:t>Ehingen</w:t>
      </w:r>
      <w:proofErr w:type="spellEnd"/>
      <w:r w:rsidRPr="00CA1F40">
        <w:t xml:space="preserve"> GmbH, left) hands over the symbolic key of the LTM 1750-9.1 to </w:t>
      </w:r>
      <w:proofErr w:type="spellStart"/>
      <w:r w:rsidRPr="00CA1F40">
        <w:t>Bjoern</w:t>
      </w:r>
      <w:proofErr w:type="spellEnd"/>
      <w:r w:rsidRPr="00CA1F40">
        <w:t xml:space="preserve"> Jatz (MSG </w:t>
      </w:r>
      <w:proofErr w:type="spellStart"/>
      <w:r w:rsidRPr="00CA1F40">
        <w:t>Krandienst</w:t>
      </w:r>
      <w:proofErr w:type="spellEnd"/>
      <w:r w:rsidRPr="00CA1F40">
        <w:t xml:space="preserve"> GmbH).</w:t>
      </w:r>
      <w:r w:rsidRPr="00CA1F40">
        <w:br/>
      </w:r>
    </w:p>
    <w:p w14:paraId="1EF69BED" w14:textId="421497DF" w:rsidR="006228BF" w:rsidRPr="00CA1F40" w:rsidRDefault="001C1554" w:rsidP="006228BF">
      <w:pPr>
        <w:spacing w:after="300" w:line="300" w:lineRule="exact"/>
        <w:rPr>
          <w:rFonts w:ascii="Arial" w:eastAsia="Times New Roman" w:hAnsi="Arial" w:cs="Arial"/>
          <w:b/>
          <w:szCs w:val="18"/>
        </w:rPr>
      </w:pPr>
      <w:r w:rsidRPr="00CA1F40">
        <w:rPr>
          <w:rFonts w:ascii="Arial" w:hAnsi="Arial" w:cs="Arial"/>
          <w:b/>
        </w:rPr>
        <w:t>Contact</w:t>
      </w:r>
    </w:p>
    <w:p w14:paraId="75C88C91" w14:textId="657DDCAB" w:rsidR="006228BF" w:rsidRPr="00CA1F40" w:rsidRDefault="006228BF" w:rsidP="006228BF">
      <w:pPr>
        <w:spacing w:after="300" w:line="300" w:lineRule="exact"/>
        <w:rPr>
          <w:rFonts w:ascii="Arial" w:eastAsia="Times New Roman" w:hAnsi="Arial" w:cs="Arial"/>
          <w:szCs w:val="18"/>
        </w:rPr>
      </w:pPr>
      <w:r w:rsidRPr="00CA1F40">
        <w:rPr>
          <w:rFonts w:ascii="Arial" w:hAnsi="Arial" w:cs="Arial"/>
        </w:rPr>
        <w:t>Wolfgang Beringer</w:t>
      </w:r>
      <w:r w:rsidRPr="00CA1F40">
        <w:rPr>
          <w:rFonts w:ascii="Arial" w:hAnsi="Arial" w:cs="Arial"/>
        </w:rPr>
        <w:br/>
        <w:t>Marketing and Communication</w:t>
      </w:r>
      <w:r w:rsidRPr="00CA1F40">
        <w:rPr>
          <w:rFonts w:ascii="Arial" w:hAnsi="Arial" w:cs="Arial"/>
        </w:rPr>
        <w:br/>
        <w:t>Phone: +49 7391/502 - 3663</w:t>
      </w:r>
      <w:r w:rsidRPr="00CA1F40">
        <w:rPr>
          <w:rFonts w:ascii="Arial" w:hAnsi="Arial" w:cs="Arial"/>
        </w:rPr>
        <w:br/>
        <w:t>Email: wolfgang.beringer@liebherr.com</w:t>
      </w:r>
    </w:p>
    <w:p w14:paraId="29C57CBB" w14:textId="77777777" w:rsidR="006228BF" w:rsidRPr="00CA1F40" w:rsidRDefault="006228BF" w:rsidP="006228BF">
      <w:pPr>
        <w:spacing w:after="300" w:line="300" w:lineRule="exact"/>
        <w:rPr>
          <w:rFonts w:ascii="Arial" w:eastAsia="Times New Roman" w:hAnsi="Arial" w:cs="Arial"/>
          <w:b/>
          <w:szCs w:val="18"/>
        </w:rPr>
      </w:pPr>
      <w:r w:rsidRPr="00CA1F40">
        <w:rPr>
          <w:rFonts w:ascii="Arial" w:hAnsi="Arial" w:cs="Arial"/>
          <w:b/>
        </w:rPr>
        <w:t>Published by</w:t>
      </w:r>
    </w:p>
    <w:p w14:paraId="184ED4B3" w14:textId="77777777" w:rsidR="006228BF" w:rsidRPr="00CA1F40" w:rsidRDefault="006228BF" w:rsidP="0088513F">
      <w:pPr>
        <w:spacing w:after="300" w:line="300" w:lineRule="exact"/>
        <w:rPr>
          <w:rFonts w:ascii="Arial" w:eastAsia="Times New Roman" w:hAnsi="Arial" w:cs="Arial"/>
          <w:szCs w:val="18"/>
        </w:rPr>
      </w:pPr>
      <w:r w:rsidRPr="00CA1F40">
        <w:rPr>
          <w:rFonts w:ascii="Arial" w:hAnsi="Arial" w:cs="Arial"/>
        </w:rPr>
        <w:t>Liebherr-</w:t>
      </w:r>
      <w:proofErr w:type="spellStart"/>
      <w:r w:rsidRPr="00CA1F40">
        <w:rPr>
          <w:rFonts w:ascii="Arial" w:hAnsi="Arial" w:cs="Arial"/>
        </w:rPr>
        <w:t>Werk</w:t>
      </w:r>
      <w:proofErr w:type="spellEnd"/>
      <w:r w:rsidRPr="00CA1F40">
        <w:rPr>
          <w:rFonts w:ascii="Arial" w:hAnsi="Arial" w:cs="Arial"/>
        </w:rPr>
        <w:t xml:space="preserve"> </w:t>
      </w:r>
      <w:proofErr w:type="spellStart"/>
      <w:r w:rsidRPr="00CA1F40">
        <w:rPr>
          <w:rFonts w:ascii="Arial" w:hAnsi="Arial" w:cs="Arial"/>
        </w:rPr>
        <w:t>Ehingen</w:t>
      </w:r>
      <w:proofErr w:type="spellEnd"/>
      <w:r w:rsidRPr="00CA1F40">
        <w:rPr>
          <w:rFonts w:ascii="Arial" w:hAnsi="Arial" w:cs="Arial"/>
        </w:rPr>
        <w:t xml:space="preserve"> GmbH</w:t>
      </w:r>
      <w:r w:rsidRPr="00CA1F40">
        <w:rPr>
          <w:rFonts w:ascii="Arial" w:hAnsi="Arial" w:cs="Arial"/>
        </w:rPr>
        <w:br/>
      </w:r>
      <w:proofErr w:type="spellStart"/>
      <w:r w:rsidRPr="00CA1F40">
        <w:rPr>
          <w:rFonts w:ascii="Arial" w:hAnsi="Arial" w:cs="Arial"/>
        </w:rPr>
        <w:t>Ehingen</w:t>
      </w:r>
      <w:proofErr w:type="spellEnd"/>
      <w:r w:rsidRPr="00CA1F40">
        <w:rPr>
          <w:rFonts w:ascii="Arial" w:hAnsi="Arial" w:cs="Arial"/>
        </w:rPr>
        <w:t xml:space="preserve"> (Donau) / Germany</w:t>
      </w:r>
      <w:r w:rsidRPr="00CA1F40">
        <w:rPr>
          <w:rFonts w:ascii="Arial" w:hAnsi="Arial" w:cs="Arial"/>
        </w:rPr>
        <w:br/>
        <w:t>www.liebherr.com</w:t>
      </w:r>
      <w:bookmarkEnd w:id="0"/>
    </w:p>
    <w:sectPr w:rsidR="006228BF" w:rsidRPr="00CA1F40" w:rsidSect="00E847CC">
      <w:headerReference w:type="default" r:id="rId12"/>
      <w:footerReference w:type="default" r:id="rId13"/>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016E" w14:textId="77777777" w:rsidR="00E80335" w:rsidRDefault="00E80335" w:rsidP="00B81ED6">
      <w:pPr>
        <w:spacing w:after="0" w:line="240" w:lineRule="auto"/>
      </w:pPr>
      <w:r>
        <w:separator/>
      </w:r>
    </w:p>
  </w:endnote>
  <w:endnote w:type="continuationSeparator" w:id="0">
    <w:p w14:paraId="1752B087" w14:textId="77777777" w:rsidR="00E80335" w:rsidRDefault="00E8033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3773" w14:textId="43D5FE3B" w:rsidR="002B54A5" w:rsidRPr="00E847CC" w:rsidRDefault="002B54A5"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56EA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456EAF">
      <w:rPr>
        <w:rFonts w:ascii="Arial" w:hAnsi="Arial" w:cs="Arial"/>
        <w:noProof/>
      </w:rPr>
      <w:instrText>1</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456EAF">
      <w:rPr>
        <w:rFonts w:ascii="Arial" w:hAnsi="Arial" w:cs="Arial"/>
        <w:noProof/>
      </w:rPr>
      <w:instrText>3</w:instrText>
    </w:r>
    <w:r w:rsidRPr="0093605C">
      <w:rPr>
        <w:rFonts w:ascii="Arial" w:hAnsi="Arial" w:cs="Arial"/>
      </w:rPr>
      <w:fldChar w:fldCharType="end"/>
    </w:r>
    <w:r w:rsidRPr="0093605C">
      <w:rPr>
        <w:rFonts w:ascii="Arial" w:hAnsi="Arial" w:cs="Arial"/>
      </w:rPr>
      <w:instrText xml:space="preserve">" "" </w:instrText>
    </w:r>
    <w:r w:rsidR="00456EAF">
      <w:rPr>
        <w:rFonts w:ascii="Arial" w:hAnsi="Arial" w:cs="Arial"/>
      </w:rPr>
      <w:fldChar w:fldCharType="separate"/>
    </w:r>
    <w:r w:rsidR="00456EAF">
      <w:rPr>
        <w:rFonts w:ascii="Arial" w:hAnsi="Arial" w:cs="Arial"/>
        <w:noProof/>
      </w:rPr>
      <w:t>1</w:t>
    </w:r>
    <w:r w:rsidR="00456EAF" w:rsidRPr="0093605C">
      <w:rPr>
        <w:rFonts w:ascii="Arial" w:hAnsi="Arial" w:cs="Arial"/>
        <w:noProof/>
      </w:rPr>
      <w:t>/</w:t>
    </w:r>
    <w:r w:rsidR="00456EAF">
      <w:rPr>
        <w:rFonts w:ascii="Arial" w:hAnsi="Arial" w:cs="Arial"/>
        <w:noProof/>
      </w:rPr>
      <w:t>3</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537B" w14:textId="77777777" w:rsidR="00E80335" w:rsidRDefault="00E80335" w:rsidP="00B81ED6">
      <w:pPr>
        <w:spacing w:after="0" w:line="240" w:lineRule="auto"/>
      </w:pPr>
      <w:r>
        <w:separator/>
      </w:r>
    </w:p>
  </w:footnote>
  <w:footnote w:type="continuationSeparator" w:id="0">
    <w:p w14:paraId="67F61EA2" w14:textId="77777777" w:rsidR="00E80335" w:rsidRDefault="00E80335"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D02" w14:textId="77777777" w:rsidR="002B54A5" w:rsidRDefault="002B54A5">
    <w:pPr>
      <w:pStyle w:val="Kopfzeile"/>
    </w:pPr>
    <w:r>
      <w:tab/>
    </w:r>
    <w:r>
      <w:tab/>
    </w:r>
    <w:r>
      <w:ptab w:relativeTo="margin" w:alignment="right" w:leader="none"/>
    </w:r>
    <w:r>
      <w:rPr>
        <w:noProof/>
      </w:rPr>
      <w:drawing>
        <wp:inline distT="0" distB="0" distL="0" distR="0" wp14:anchorId="6B74721E" wp14:editId="6D4AC79B">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2E21A64" w14:textId="77777777" w:rsidR="002B54A5" w:rsidRDefault="002B5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BC8625C"/>
    <w:multiLevelType w:val="hybridMultilevel"/>
    <w:tmpl w:val="5CF20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abstractNum w:abstractNumId="4" w15:restartNumberingAfterBreak="0">
    <w:nsid w:val="4A90347D"/>
    <w:multiLevelType w:val="hybridMultilevel"/>
    <w:tmpl w:val="D92AD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D6"/>
    <w:rsid w:val="00007A44"/>
    <w:rsid w:val="00007DE3"/>
    <w:rsid w:val="000300E4"/>
    <w:rsid w:val="00031EA1"/>
    <w:rsid w:val="00033002"/>
    <w:rsid w:val="00034EED"/>
    <w:rsid w:val="0004596E"/>
    <w:rsid w:val="00046897"/>
    <w:rsid w:val="0005725E"/>
    <w:rsid w:val="00060D5A"/>
    <w:rsid w:val="00066E54"/>
    <w:rsid w:val="000744EF"/>
    <w:rsid w:val="000747BD"/>
    <w:rsid w:val="00080353"/>
    <w:rsid w:val="00091304"/>
    <w:rsid w:val="000925E9"/>
    <w:rsid w:val="00097E93"/>
    <w:rsid w:val="000A04AE"/>
    <w:rsid w:val="000A109E"/>
    <w:rsid w:val="000A141A"/>
    <w:rsid w:val="000A216F"/>
    <w:rsid w:val="000C0B26"/>
    <w:rsid w:val="000C1192"/>
    <w:rsid w:val="000D02E3"/>
    <w:rsid w:val="000D6372"/>
    <w:rsid w:val="000E3C3F"/>
    <w:rsid w:val="001009C9"/>
    <w:rsid w:val="0011051D"/>
    <w:rsid w:val="001107BD"/>
    <w:rsid w:val="0012274D"/>
    <w:rsid w:val="0012604D"/>
    <w:rsid w:val="001261A3"/>
    <w:rsid w:val="00130686"/>
    <w:rsid w:val="00130B98"/>
    <w:rsid w:val="001369B9"/>
    <w:rsid w:val="0013755A"/>
    <w:rsid w:val="0014019F"/>
    <w:rsid w:val="001419B4"/>
    <w:rsid w:val="00145DB7"/>
    <w:rsid w:val="001475CB"/>
    <w:rsid w:val="001504E0"/>
    <w:rsid w:val="0015573B"/>
    <w:rsid w:val="001644ED"/>
    <w:rsid w:val="0016799F"/>
    <w:rsid w:val="00173684"/>
    <w:rsid w:val="00175B0E"/>
    <w:rsid w:val="0018187A"/>
    <w:rsid w:val="001853AD"/>
    <w:rsid w:val="0018608E"/>
    <w:rsid w:val="0018634A"/>
    <w:rsid w:val="00193F36"/>
    <w:rsid w:val="001A1AD7"/>
    <w:rsid w:val="001B3F3F"/>
    <w:rsid w:val="001B6F59"/>
    <w:rsid w:val="001C1554"/>
    <w:rsid w:val="001C3EA6"/>
    <w:rsid w:val="001D15A7"/>
    <w:rsid w:val="001D5C5D"/>
    <w:rsid w:val="001E1962"/>
    <w:rsid w:val="001E32E3"/>
    <w:rsid w:val="001E5F36"/>
    <w:rsid w:val="001F78DC"/>
    <w:rsid w:val="00203185"/>
    <w:rsid w:val="00205627"/>
    <w:rsid w:val="002073EE"/>
    <w:rsid w:val="00213C85"/>
    <w:rsid w:val="00216BF5"/>
    <w:rsid w:val="00234851"/>
    <w:rsid w:val="002356CC"/>
    <w:rsid w:val="00236D59"/>
    <w:rsid w:val="0024163B"/>
    <w:rsid w:val="002438ED"/>
    <w:rsid w:val="0024585A"/>
    <w:rsid w:val="00246D82"/>
    <w:rsid w:val="00246F8C"/>
    <w:rsid w:val="0024708A"/>
    <w:rsid w:val="0025191F"/>
    <w:rsid w:val="002541B4"/>
    <w:rsid w:val="00265534"/>
    <w:rsid w:val="00295A44"/>
    <w:rsid w:val="002A299B"/>
    <w:rsid w:val="002A5020"/>
    <w:rsid w:val="002B54A5"/>
    <w:rsid w:val="002D6AB5"/>
    <w:rsid w:val="002E7582"/>
    <w:rsid w:val="002F1757"/>
    <w:rsid w:val="003131FC"/>
    <w:rsid w:val="00317630"/>
    <w:rsid w:val="003218B7"/>
    <w:rsid w:val="00323EAB"/>
    <w:rsid w:val="0032490C"/>
    <w:rsid w:val="00325A5F"/>
    <w:rsid w:val="003271EF"/>
    <w:rsid w:val="00327301"/>
    <w:rsid w:val="00327624"/>
    <w:rsid w:val="003524D2"/>
    <w:rsid w:val="00362849"/>
    <w:rsid w:val="00362A9E"/>
    <w:rsid w:val="003631C6"/>
    <w:rsid w:val="00364319"/>
    <w:rsid w:val="00365B08"/>
    <w:rsid w:val="00381F13"/>
    <w:rsid w:val="00386097"/>
    <w:rsid w:val="00387405"/>
    <w:rsid w:val="003936A6"/>
    <w:rsid w:val="00393830"/>
    <w:rsid w:val="003938EF"/>
    <w:rsid w:val="00396FFA"/>
    <w:rsid w:val="003A03B0"/>
    <w:rsid w:val="003B6450"/>
    <w:rsid w:val="003C2160"/>
    <w:rsid w:val="003C47FD"/>
    <w:rsid w:val="003D54CC"/>
    <w:rsid w:val="003E7818"/>
    <w:rsid w:val="003F44D0"/>
    <w:rsid w:val="003F6706"/>
    <w:rsid w:val="004058E8"/>
    <w:rsid w:val="004148DB"/>
    <w:rsid w:val="004249E1"/>
    <w:rsid w:val="00424A81"/>
    <w:rsid w:val="00435D35"/>
    <w:rsid w:val="00456EAF"/>
    <w:rsid w:val="00462341"/>
    <w:rsid w:val="00466A15"/>
    <w:rsid w:val="0047373B"/>
    <w:rsid w:val="00485C48"/>
    <w:rsid w:val="00492DBB"/>
    <w:rsid w:val="0049430A"/>
    <w:rsid w:val="004A1CB8"/>
    <w:rsid w:val="004A41BB"/>
    <w:rsid w:val="004B2A46"/>
    <w:rsid w:val="004C04E4"/>
    <w:rsid w:val="004C4B9A"/>
    <w:rsid w:val="004C557B"/>
    <w:rsid w:val="004E4365"/>
    <w:rsid w:val="004E5E69"/>
    <w:rsid w:val="004F482E"/>
    <w:rsid w:val="00504D85"/>
    <w:rsid w:val="005116C9"/>
    <w:rsid w:val="005166FA"/>
    <w:rsid w:val="00520C2C"/>
    <w:rsid w:val="00533F42"/>
    <w:rsid w:val="005357DA"/>
    <w:rsid w:val="005428DA"/>
    <w:rsid w:val="00544004"/>
    <w:rsid w:val="005548E0"/>
    <w:rsid w:val="005564BE"/>
    <w:rsid w:val="00556698"/>
    <w:rsid w:val="00566F04"/>
    <w:rsid w:val="00573547"/>
    <w:rsid w:val="00577041"/>
    <w:rsid w:val="0058070A"/>
    <w:rsid w:val="005811D9"/>
    <w:rsid w:val="00584F54"/>
    <w:rsid w:val="005853EE"/>
    <w:rsid w:val="00585BA9"/>
    <w:rsid w:val="00594D22"/>
    <w:rsid w:val="00595E42"/>
    <w:rsid w:val="005B2269"/>
    <w:rsid w:val="005C68AF"/>
    <w:rsid w:val="005C7F24"/>
    <w:rsid w:val="005D0D52"/>
    <w:rsid w:val="005E304D"/>
    <w:rsid w:val="005E3773"/>
    <w:rsid w:val="005E68DC"/>
    <w:rsid w:val="005E79D3"/>
    <w:rsid w:val="005F09B5"/>
    <w:rsid w:val="005F1AC2"/>
    <w:rsid w:val="005F6F7B"/>
    <w:rsid w:val="005F7074"/>
    <w:rsid w:val="00602927"/>
    <w:rsid w:val="00611C5E"/>
    <w:rsid w:val="00614F0E"/>
    <w:rsid w:val="006164FD"/>
    <w:rsid w:val="006228BF"/>
    <w:rsid w:val="00631B86"/>
    <w:rsid w:val="006346B7"/>
    <w:rsid w:val="00652E53"/>
    <w:rsid w:val="0066132C"/>
    <w:rsid w:val="00664D6C"/>
    <w:rsid w:val="006665D4"/>
    <w:rsid w:val="00686035"/>
    <w:rsid w:val="006860BE"/>
    <w:rsid w:val="00687977"/>
    <w:rsid w:val="00694395"/>
    <w:rsid w:val="006949AD"/>
    <w:rsid w:val="006A0BA3"/>
    <w:rsid w:val="006A47B6"/>
    <w:rsid w:val="006B5C7C"/>
    <w:rsid w:val="006C449B"/>
    <w:rsid w:val="006C5B24"/>
    <w:rsid w:val="006D4E80"/>
    <w:rsid w:val="006E25BD"/>
    <w:rsid w:val="006E37B4"/>
    <w:rsid w:val="006E4367"/>
    <w:rsid w:val="006F71BD"/>
    <w:rsid w:val="0070344C"/>
    <w:rsid w:val="007055E6"/>
    <w:rsid w:val="0070698F"/>
    <w:rsid w:val="00710B22"/>
    <w:rsid w:val="00710C71"/>
    <w:rsid w:val="007235BC"/>
    <w:rsid w:val="00730646"/>
    <w:rsid w:val="00730D75"/>
    <w:rsid w:val="0073218B"/>
    <w:rsid w:val="00733BD5"/>
    <w:rsid w:val="00735924"/>
    <w:rsid w:val="00744D71"/>
    <w:rsid w:val="007459FB"/>
    <w:rsid w:val="00747169"/>
    <w:rsid w:val="0074751F"/>
    <w:rsid w:val="007507C0"/>
    <w:rsid w:val="00750C64"/>
    <w:rsid w:val="007536D8"/>
    <w:rsid w:val="00755D2A"/>
    <w:rsid w:val="0075627B"/>
    <w:rsid w:val="00756746"/>
    <w:rsid w:val="00757235"/>
    <w:rsid w:val="00761197"/>
    <w:rsid w:val="007615E5"/>
    <w:rsid w:val="00763902"/>
    <w:rsid w:val="007734BE"/>
    <w:rsid w:val="007743F0"/>
    <w:rsid w:val="00775D00"/>
    <w:rsid w:val="00783244"/>
    <w:rsid w:val="00790B60"/>
    <w:rsid w:val="007A3A3A"/>
    <w:rsid w:val="007A7F79"/>
    <w:rsid w:val="007C2DD9"/>
    <w:rsid w:val="007C4218"/>
    <w:rsid w:val="007D3AF5"/>
    <w:rsid w:val="007D78E9"/>
    <w:rsid w:val="007E695F"/>
    <w:rsid w:val="007F2586"/>
    <w:rsid w:val="007F5768"/>
    <w:rsid w:val="00802113"/>
    <w:rsid w:val="00802F62"/>
    <w:rsid w:val="0080405C"/>
    <w:rsid w:val="008060C5"/>
    <w:rsid w:val="00811F2B"/>
    <w:rsid w:val="00812927"/>
    <w:rsid w:val="00823672"/>
    <w:rsid w:val="00824226"/>
    <w:rsid w:val="00827B5A"/>
    <w:rsid w:val="00830FD6"/>
    <w:rsid w:val="00831A4B"/>
    <w:rsid w:val="008372FE"/>
    <w:rsid w:val="0084358F"/>
    <w:rsid w:val="00851117"/>
    <w:rsid w:val="00853962"/>
    <w:rsid w:val="0086217B"/>
    <w:rsid w:val="00866D7D"/>
    <w:rsid w:val="008732D6"/>
    <w:rsid w:val="008834E2"/>
    <w:rsid w:val="0088513F"/>
    <w:rsid w:val="00885628"/>
    <w:rsid w:val="00892EB8"/>
    <w:rsid w:val="00893F61"/>
    <w:rsid w:val="008B0B0D"/>
    <w:rsid w:val="008B2FA0"/>
    <w:rsid w:val="008C0961"/>
    <w:rsid w:val="008C0D9C"/>
    <w:rsid w:val="008C1B17"/>
    <w:rsid w:val="008F586F"/>
    <w:rsid w:val="008F7489"/>
    <w:rsid w:val="00907C34"/>
    <w:rsid w:val="0091035D"/>
    <w:rsid w:val="00914BEC"/>
    <w:rsid w:val="009169F9"/>
    <w:rsid w:val="009209EE"/>
    <w:rsid w:val="00925B42"/>
    <w:rsid w:val="00932178"/>
    <w:rsid w:val="009330B7"/>
    <w:rsid w:val="0093605C"/>
    <w:rsid w:val="00941910"/>
    <w:rsid w:val="00942E1B"/>
    <w:rsid w:val="00944E7E"/>
    <w:rsid w:val="0095229E"/>
    <w:rsid w:val="009546B3"/>
    <w:rsid w:val="00965077"/>
    <w:rsid w:val="00965633"/>
    <w:rsid w:val="00967FB1"/>
    <w:rsid w:val="009718F1"/>
    <w:rsid w:val="009723A2"/>
    <w:rsid w:val="0097521B"/>
    <w:rsid w:val="00976B80"/>
    <w:rsid w:val="00984516"/>
    <w:rsid w:val="0098466E"/>
    <w:rsid w:val="009967AA"/>
    <w:rsid w:val="009A3D17"/>
    <w:rsid w:val="009A59D4"/>
    <w:rsid w:val="009B2417"/>
    <w:rsid w:val="009B5053"/>
    <w:rsid w:val="009D4369"/>
    <w:rsid w:val="009D6154"/>
    <w:rsid w:val="009E1CC3"/>
    <w:rsid w:val="009E27D6"/>
    <w:rsid w:val="009E29F3"/>
    <w:rsid w:val="009F0240"/>
    <w:rsid w:val="009F5B06"/>
    <w:rsid w:val="009F5B6A"/>
    <w:rsid w:val="009F5D0A"/>
    <w:rsid w:val="009F766C"/>
    <w:rsid w:val="00A11FE9"/>
    <w:rsid w:val="00A21FC6"/>
    <w:rsid w:val="00A30EB7"/>
    <w:rsid w:val="00A323E7"/>
    <w:rsid w:val="00A411EA"/>
    <w:rsid w:val="00A42660"/>
    <w:rsid w:val="00A432C0"/>
    <w:rsid w:val="00A467A3"/>
    <w:rsid w:val="00A579C0"/>
    <w:rsid w:val="00A60FDE"/>
    <w:rsid w:val="00A65EE2"/>
    <w:rsid w:val="00A72070"/>
    <w:rsid w:val="00A72477"/>
    <w:rsid w:val="00A72676"/>
    <w:rsid w:val="00A77449"/>
    <w:rsid w:val="00A805AD"/>
    <w:rsid w:val="00A84A3F"/>
    <w:rsid w:val="00A85747"/>
    <w:rsid w:val="00A87B82"/>
    <w:rsid w:val="00A92806"/>
    <w:rsid w:val="00AA0481"/>
    <w:rsid w:val="00AA6A2B"/>
    <w:rsid w:val="00AA7402"/>
    <w:rsid w:val="00AB0B99"/>
    <w:rsid w:val="00AB6A50"/>
    <w:rsid w:val="00AB71F8"/>
    <w:rsid w:val="00AC10D4"/>
    <w:rsid w:val="00AC2129"/>
    <w:rsid w:val="00AC3120"/>
    <w:rsid w:val="00AC6B02"/>
    <w:rsid w:val="00AE1010"/>
    <w:rsid w:val="00AF1D04"/>
    <w:rsid w:val="00AF1EAD"/>
    <w:rsid w:val="00AF1F99"/>
    <w:rsid w:val="00B30440"/>
    <w:rsid w:val="00B33FB3"/>
    <w:rsid w:val="00B41CF9"/>
    <w:rsid w:val="00B444AB"/>
    <w:rsid w:val="00B51BEA"/>
    <w:rsid w:val="00B528F2"/>
    <w:rsid w:val="00B63150"/>
    <w:rsid w:val="00B646F2"/>
    <w:rsid w:val="00B67C62"/>
    <w:rsid w:val="00B72B10"/>
    <w:rsid w:val="00B80C5F"/>
    <w:rsid w:val="00B81ED6"/>
    <w:rsid w:val="00B82B13"/>
    <w:rsid w:val="00B831DB"/>
    <w:rsid w:val="00B86F61"/>
    <w:rsid w:val="00B904B9"/>
    <w:rsid w:val="00B9070F"/>
    <w:rsid w:val="00B935D0"/>
    <w:rsid w:val="00B97D38"/>
    <w:rsid w:val="00BA0C51"/>
    <w:rsid w:val="00BA25CA"/>
    <w:rsid w:val="00BA66A4"/>
    <w:rsid w:val="00BB065A"/>
    <w:rsid w:val="00BB0BFF"/>
    <w:rsid w:val="00BB25C9"/>
    <w:rsid w:val="00BB3EFD"/>
    <w:rsid w:val="00BB43F2"/>
    <w:rsid w:val="00BC58DC"/>
    <w:rsid w:val="00BD16EC"/>
    <w:rsid w:val="00BD3A29"/>
    <w:rsid w:val="00BD6887"/>
    <w:rsid w:val="00BD7045"/>
    <w:rsid w:val="00BE22A3"/>
    <w:rsid w:val="00BE2EFB"/>
    <w:rsid w:val="00BE472D"/>
    <w:rsid w:val="00BE730A"/>
    <w:rsid w:val="00BF3F91"/>
    <w:rsid w:val="00BF791D"/>
    <w:rsid w:val="00C03F30"/>
    <w:rsid w:val="00C103C3"/>
    <w:rsid w:val="00C1330F"/>
    <w:rsid w:val="00C26C00"/>
    <w:rsid w:val="00C41EF6"/>
    <w:rsid w:val="00C44489"/>
    <w:rsid w:val="00C464EC"/>
    <w:rsid w:val="00C46906"/>
    <w:rsid w:val="00C628A0"/>
    <w:rsid w:val="00C665F8"/>
    <w:rsid w:val="00C77574"/>
    <w:rsid w:val="00C84A76"/>
    <w:rsid w:val="00C95A07"/>
    <w:rsid w:val="00CA1F40"/>
    <w:rsid w:val="00CA4280"/>
    <w:rsid w:val="00CA4788"/>
    <w:rsid w:val="00CA75FB"/>
    <w:rsid w:val="00CB1025"/>
    <w:rsid w:val="00CB1E46"/>
    <w:rsid w:val="00CB264E"/>
    <w:rsid w:val="00CB359E"/>
    <w:rsid w:val="00CB3C86"/>
    <w:rsid w:val="00CC0BF7"/>
    <w:rsid w:val="00CC1A50"/>
    <w:rsid w:val="00CD07BF"/>
    <w:rsid w:val="00CD1D59"/>
    <w:rsid w:val="00CD4C9F"/>
    <w:rsid w:val="00CD53A6"/>
    <w:rsid w:val="00CD6A37"/>
    <w:rsid w:val="00CE10E0"/>
    <w:rsid w:val="00CE1D11"/>
    <w:rsid w:val="00CE6CE0"/>
    <w:rsid w:val="00CE7757"/>
    <w:rsid w:val="00CF33D5"/>
    <w:rsid w:val="00CF6668"/>
    <w:rsid w:val="00CF6D36"/>
    <w:rsid w:val="00D02820"/>
    <w:rsid w:val="00D07004"/>
    <w:rsid w:val="00D1286A"/>
    <w:rsid w:val="00D21E22"/>
    <w:rsid w:val="00D25F2F"/>
    <w:rsid w:val="00D2656D"/>
    <w:rsid w:val="00D30DA6"/>
    <w:rsid w:val="00D34B59"/>
    <w:rsid w:val="00D35BFA"/>
    <w:rsid w:val="00D36FB1"/>
    <w:rsid w:val="00D462C1"/>
    <w:rsid w:val="00D53A2B"/>
    <w:rsid w:val="00D60401"/>
    <w:rsid w:val="00D63B50"/>
    <w:rsid w:val="00D63FC9"/>
    <w:rsid w:val="00D67D3C"/>
    <w:rsid w:val="00D76562"/>
    <w:rsid w:val="00D76BFC"/>
    <w:rsid w:val="00D77AA2"/>
    <w:rsid w:val="00D93257"/>
    <w:rsid w:val="00D96F4C"/>
    <w:rsid w:val="00DA19EB"/>
    <w:rsid w:val="00DA5DBE"/>
    <w:rsid w:val="00DB26DB"/>
    <w:rsid w:val="00DB38BA"/>
    <w:rsid w:val="00DC2550"/>
    <w:rsid w:val="00DC3CCF"/>
    <w:rsid w:val="00DC7D6B"/>
    <w:rsid w:val="00DE3AEA"/>
    <w:rsid w:val="00DE4E92"/>
    <w:rsid w:val="00DE6B65"/>
    <w:rsid w:val="00DF3078"/>
    <w:rsid w:val="00DF40C0"/>
    <w:rsid w:val="00E07A11"/>
    <w:rsid w:val="00E1260E"/>
    <w:rsid w:val="00E23EA4"/>
    <w:rsid w:val="00E260E6"/>
    <w:rsid w:val="00E32363"/>
    <w:rsid w:val="00E42BD3"/>
    <w:rsid w:val="00E4327C"/>
    <w:rsid w:val="00E450E3"/>
    <w:rsid w:val="00E479E6"/>
    <w:rsid w:val="00E516C8"/>
    <w:rsid w:val="00E52803"/>
    <w:rsid w:val="00E52C50"/>
    <w:rsid w:val="00E6156C"/>
    <w:rsid w:val="00E674F3"/>
    <w:rsid w:val="00E74E43"/>
    <w:rsid w:val="00E80335"/>
    <w:rsid w:val="00E847CC"/>
    <w:rsid w:val="00E911E7"/>
    <w:rsid w:val="00E91C23"/>
    <w:rsid w:val="00E9294F"/>
    <w:rsid w:val="00EA09F3"/>
    <w:rsid w:val="00EA26F3"/>
    <w:rsid w:val="00EA6050"/>
    <w:rsid w:val="00EA6203"/>
    <w:rsid w:val="00EB2E1D"/>
    <w:rsid w:val="00EB7457"/>
    <w:rsid w:val="00ED2FB9"/>
    <w:rsid w:val="00EE1B93"/>
    <w:rsid w:val="00EF1532"/>
    <w:rsid w:val="00EF574C"/>
    <w:rsid w:val="00F0167D"/>
    <w:rsid w:val="00F07120"/>
    <w:rsid w:val="00F07301"/>
    <w:rsid w:val="00F22D3B"/>
    <w:rsid w:val="00F32303"/>
    <w:rsid w:val="00F377F2"/>
    <w:rsid w:val="00F40615"/>
    <w:rsid w:val="00F40E96"/>
    <w:rsid w:val="00F45E57"/>
    <w:rsid w:val="00F45FEE"/>
    <w:rsid w:val="00F4701C"/>
    <w:rsid w:val="00F47226"/>
    <w:rsid w:val="00F55930"/>
    <w:rsid w:val="00F6597F"/>
    <w:rsid w:val="00F667DE"/>
    <w:rsid w:val="00F7143A"/>
    <w:rsid w:val="00F72FBB"/>
    <w:rsid w:val="00F737EA"/>
    <w:rsid w:val="00F81B6B"/>
    <w:rsid w:val="00F86814"/>
    <w:rsid w:val="00F93866"/>
    <w:rsid w:val="00F95D29"/>
    <w:rsid w:val="00F976BB"/>
    <w:rsid w:val="00FA1662"/>
    <w:rsid w:val="00FA4FAF"/>
    <w:rsid w:val="00FD1273"/>
    <w:rsid w:val="00FE70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30DF3C"/>
  <w15:chartTrackingRefBased/>
  <w15:docId w15:val="{6B76B8C6-5DB7-4EFE-9E2A-81E5C66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6132C"/>
  </w:style>
  <w:style w:type="paragraph" w:styleId="berschrift3">
    <w:name w:val="heading 3"/>
    <w:basedOn w:val="Standard"/>
    <w:link w:val="berschrift3Zchn"/>
    <w:uiPriority w:val="9"/>
    <w:qFormat/>
    <w:rsid w:val="00C41E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GB"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GB"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GB" w:eastAsia="de-DE"/>
    </w:rPr>
  </w:style>
  <w:style w:type="character" w:customStyle="1" w:styleId="Teaser11PtZchn">
    <w:name w:val="Teaser 11Pt Zchn"/>
    <w:basedOn w:val="Absatz-Standardschriftart"/>
    <w:link w:val="Teaser11Pt"/>
    <w:rsid w:val="00B81ED6"/>
    <w:rPr>
      <w:rFonts w:ascii="Arial" w:hAnsi="Arial"/>
      <w:b/>
      <w:noProof/>
      <w:lang w:val="en-GB"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GB"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GB"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GB"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styleId="Sprechblasentext">
    <w:name w:val="Balloon Text"/>
    <w:basedOn w:val="Standard"/>
    <w:link w:val="SprechblasentextZchn"/>
    <w:uiPriority w:val="99"/>
    <w:semiHidden/>
    <w:unhideWhenUsed/>
    <w:rsid w:val="00972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3A2"/>
    <w:rPr>
      <w:rFonts w:ascii="Segoe UI" w:hAnsi="Segoe UI" w:cs="Segoe UI"/>
      <w:sz w:val="18"/>
      <w:szCs w:val="18"/>
    </w:rPr>
  </w:style>
  <w:style w:type="paragraph" w:styleId="Listenabsatz">
    <w:name w:val="List Paragraph"/>
    <w:basedOn w:val="Standard"/>
    <w:uiPriority w:val="34"/>
    <w:qFormat/>
    <w:rsid w:val="00907C34"/>
    <w:pPr>
      <w:spacing w:after="0" w:line="240" w:lineRule="auto"/>
      <w:ind w:left="720"/>
    </w:pPr>
    <w:rPr>
      <w:rFonts w:ascii="Calibri" w:eastAsiaTheme="minorHAnsi" w:hAnsi="Calibri" w:cs="Calibri"/>
      <w:lang w:eastAsia="de-DE"/>
    </w:rPr>
  </w:style>
  <w:style w:type="character" w:styleId="Kommentarzeichen">
    <w:name w:val="annotation reference"/>
    <w:basedOn w:val="Absatz-Standardschriftart"/>
    <w:uiPriority w:val="99"/>
    <w:semiHidden/>
    <w:unhideWhenUsed/>
    <w:rsid w:val="00213C85"/>
    <w:rPr>
      <w:sz w:val="16"/>
      <w:szCs w:val="16"/>
    </w:rPr>
  </w:style>
  <w:style w:type="paragraph" w:styleId="Kommentartext">
    <w:name w:val="annotation text"/>
    <w:basedOn w:val="Standard"/>
    <w:link w:val="KommentartextZchn"/>
    <w:uiPriority w:val="99"/>
    <w:unhideWhenUsed/>
    <w:rsid w:val="00213C85"/>
    <w:pPr>
      <w:spacing w:line="240" w:lineRule="auto"/>
    </w:pPr>
    <w:rPr>
      <w:sz w:val="20"/>
      <w:szCs w:val="20"/>
    </w:rPr>
  </w:style>
  <w:style w:type="character" w:customStyle="1" w:styleId="KommentartextZchn">
    <w:name w:val="Kommentartext Zchn"/>
    <w:basedOn w:val="Absatz-Standardschriftart"/>
    <w:link w:val="Kommentartext"/>
    <w:uiPriority w:val="99"/>
    <w:rsid w:val="00213C85"/>
    <w:rPr>
      <w:sz w:val="20"/>
      <w:szCs w:val="20"/>
    </w:rPr>
  </w:style>
  <w:style w:type="paragraph" w:styleId="Kommentarthema">
    <w:name w:val="annotation subject"/>
    <w:basedOn w:val="Kommentartext"/>
    <w:next w:val="Kommentartext"/>
    <w:link w:val="KommentarthemaZchn"/>
    <w:uiPriority w:val="99"/>
    <w:semiHidden/>
    <w:unhideWhenUsed/>
    <w:rsid w:val="00213C85"/>
    <w:rPr>
      <w:b/>
      <w:bCs/>
    </w:rPr>
  </w:style>
  <w:style w:type="character" w:customStyle="1" w:styleId="KommentarthemaZchn">
    <w:name w:val="Kommentarthema Zchn"/>
    <w:basedOn w:val="KommentartextZchn"/>
    <w:link w:val="Kommentarthema"/>
    <w:uiPriority w:val="99"/>
    <w:semiHidden/>
    <w:rsid w:val="00213C85"/>
    <w:rPr>
      <w:b/>
      <w:bCs/>
      <w:sz w:val="20"/>
      <w:szCs w:val="20"/>
    </w:rPr>
  </w:style>
  <w:style w:type="paragraph" w:styleId="StandardWeb">
    <w:name w:val="Normal (Web)"/>
    <w:basedOn w:val="Standard"/>
    <w:uiPriority w:val="99"/>
    <w:semiHidden/>
    <w:unhideWhenUsed/>
    <w:rsid w:val="004A41BB"/>
    <w:pPr>
      <w:spacing w:before="100" w:beforeAutospacing="1" w:after="100" w:afterAutospacing="1" w:line="240" w:lineRule="auto"/>
    </w:pPr>
    <w:rPr>
      <w:rFonts w:ascii="Times New Roman" w:eastAsiaTheme="minorHAnsi"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8060C5"/>
    <w:rPr>
      <w:color w:val="605E5C"/>
      <w:shd w:val="clear" w:color="auto" w:fill="E1DFDD"/>
    </w:rPr>
  </w:style>
  <w:style w:type="character" w:customStyle="1" w:styleId="berschrift3Zchn">
    <w:name w:val="Überschrift 3 Zchn"/>
    <w:basedOn w:val="Absatz-Standardschriftart"/>
    <w:link w:val="berschrift3"/>
    <w:uiPriority w:val="9"/>
    <w:rsid w:val="00C41EF6"/>
    <w:rPr>
      <w:rFonts w:ascii="Times New Roman" w:eastAsia="Times New Roman" w:hAnsi="Times New Roman" w:cs="Times New Roman"/>
      <w:b/>
      <w:bCs/>
      <w:sz w:val="27"/>
      <w:szCs w:val="27"/>
      <w:lang w:eastAsia="de-DE"/>
    </w:rPr>
  </w:style>
  <w:style w:type="paragraph" w:customStyle="1" w:styleId="LHbase-type11ptbold">
    <w:name w:val="LH_base-type 11pt bold"/>
    <w:basedOn w:val="LHbase-type11ptregular"/>
    <w:qFormat/>
    <w:rsid w:val="00A65EE2"/>
    <w:rPr>
      <w:b/>
    </w:rPr>
  </w:style>
  <w:style w:type="paragraph" w:customStyle="1" w:styleId="LHbase-type11ptregular">
    <w:name w:val="LH_base-type 11pt regular"/>
    <w:qFormat/>
    <w:rsid w:val="00A65EE2"/>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 w:type="paragraph" w:styleId="berarbeitung">
    <w:name w:val="Revision"/>
    <w:hidden/>
    <w:uiPriority w:val="99"/>
    <w:semiHidden/>
    <w:rsid w:val="006C4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4295">
      <w:bodyDiv w:val="1"/>
      <w:marLeft w:val="0"/>
      <w:marRight w:val="0"/>
      <w:marTop w:val="0"/>
      <w:marBottom w:val="0"/>
      <w:divBdr>
        <w:top w:val="none" w:sz="0" w:space="0" w:color="auto"/>
        <w:left w:val="none" w:sz="0" w:space="0" w:color="auto"/>
        <w:bottom w:val="none" w:sz="0" w:space="0" w:color="auto"/>
        <w:right w:val="none" w:sz="0" w:space="0" w:color="auto"/>
      </w:divBdr>
    </w:div>
    <w:div w:id="565066121">
      <w:bodyDiv w:val="1"/>
      <w:marLeft w:val="0"/>
      <w:marRight w:val="0"/>
      <w:marTop w:val="0"/>
      <w:marBottom w:val="0"/>
      <w:divBdr>
        <w:top w:val="none" w:sz="0" w:space="0" w:color="auto"/>
        <w:left w:val="none" w:sz="0" w:space="0" w:color="auto"/>
        <w:bottom w:val="none" w:sz="0" w:space="0" w:color="auto"/>
        <w:right w:val="none" w:sz="0" w:space="0" w:color="auto"/>
      </w:divBdr>
    </w:div>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927541331">
      <w:bodyDiv w:val="1"/>
      <w:marLeft w:val="0"/>
      <w:marRight w:val="0"/>
      <w:marTop w:val="0"/>
      <w:marBottom w:val="0"/>
      <w:divBdr>
        <w:top w:val="none" w:sz="0" w:space="0" w:color="auto"/>
        <w:left w:val="none" w:sz="0" w:space="0" w:color="auto"/>
        <w:bottom w:val="none" w:sz="0" w:space="0" w:color="auto"/>
        <w:right w:val="none" w:sz="0" w:space="0" w:color="auto"/>
      </w:divBdr>
    </w:div>
    <w:div w:id="1406302253">
      <w:bodyDiv w:val="1"/>
      <w:marLeft w:val="0"/>
      <w:marRight w:val="0"/>
      <w:marTop w:val="0"/>
      <w:marBottom w:val="0"/>
      <w:divBdr>
        <w:top w:val="none" w:sz="0" w:space="0" w:color="auto"/>
        <w:left w:val="none" w:sz="0" w:space="0" w:color="auto"/>
        <w:bottom w:val="none" w:sz="0" w:space="0" w:color="auto"/>
        <w:right w:val="none" w:sz="0" w:space="0" w:color="auto"/>
      </w:divBdr>
    </w:div>
    <w:div w:id="1596286997">
      <w:bodyDiv w:val="1"/>
      <w:marLeft w:val="0"/>
      <w:marRight w:val="0"/>
      <w:marTop w:val="0"/>
      <w:marBottom w:val="0"/>
      <w:divBdr>
        <w:top w:val="none" w:sz="0" w:space="0" w:color="auto"/>
        <w:left w:val="none" w:sz="0" w:space="0" w:color="auto"/>
        <w:bottom w:val="none" w:sz="0" w:space="0" w:color="auto"/>
        <w:right w:val="none" w:sz="0" w:space="0" w:color="auto"/>
      </w:divBdr>
    </w:div>
    <w:div w:id="1610120843">
      <w:bodyDiv w:val="1"/>
      <w:marLeft w:val="0"/>
      <w:marRight w:val="0"/>
      <w:marTop w:val="0"/>
      <w:marBottom w:val="0"/>
      <w:divBdr>
        <w:top w:val="none" w:sz="0" w:space="0" w:color="auto"/>
        <w:left w:val="none" w:sz="0" w:space="0" w:color="auto"/>
        <w:bottom w:val="none" w:sz="0" w:space="0" w:color="auto"/>
        <w:right w:val="none" w:sz="0" w:space="0" w:color="auto"/>
      </w:divBdr>
    </w:div>
    <w:div w:id="1625228777">
      <w:bodyDiv w:val="1"/>
      <w:marLeft w:val="0"/>
      <w:marRight w:val="0"/>
      <w:marTop w:val="0"/>
      <w:marBottom w:val="0"/>
      <w:divBdr>
        <w:top w:val="none" w:sz="0" w:space="0" w:color="auto"/>
        <w:left w:val="none" w:sz="0" w:space="0" w:color="auto"/>
        <w:bottom w:val="none" w:sz="0" w:space="0" w:color="auto"/>
        <w:right w:val="none" w:sz="0" w:space="0" w:color="auto"/>
      </w:divBdr>
      <w:divsChild>
        <w:div w:id="1503930657">
          <w:marLeft w:val="0"/>
          <w:marRight w:val="76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4BDA2-D5B3-4F1F-BEED-EE077602F168}">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37301BD-2E4A-45B3-B378-7EF36DFF1BD0}">
  <ds:schemaRefs>
    <ds:schemaRef ds:uri="http://schemas.openxmlformats.org/officeDocument/2006/bibliography"/>
  </ds:schemaRefs>
</ds:datastoreItem>
</file>

<file path=customXml/itemProps3.xml><?xml version="1.0" encoding="utf-8"?>
<ds:datastoreItem xmlns:ds="http://schemas.openxmlformats.org/officeDocument/2006/customXml" ds:itemID="{A27F3B81-CE41-46FF-8382-895C535ABAD0}">
  <ds:schemaRefs>
    <ds:schemaRef ds:uri="http://schemas.microsoft.com/sharepoint/v3/contenttype/forms"/>
  </ds:schemaRefs>
</ds:datastoreItem>
</file>

<file path=customXml/itemProps4.xml><?xml version="1.0" encoding="utf-8"?>
<ds:datastoreItem xmlns:ds="http://schemas.openxmlformats.org/officeDocument/2006/customXml" ds:itemID="{F92467BA-D594-491F-B2AC-7B36129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Headlin</vt:lpstr>
    </vt:vector>
  </TitlesOfParts>
  <Company>Liebherr</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Merker Anja (LHO)</cp:lastModifiedBy>
  <cp:revision>4</cp:revision>
  <cp:lastPrinted>2022-03-07T15:51:00Z</cp:lastPrinted>
  <dcterms:created xsi:type="dcterms:W3CDTF">2023-02-28T09:06:00Z</dcterms:created>
  <dcterms:modified xsi:type="dcterms:W3CDTF">2023-02-28T10:05:00Z</dcterms:modified>
  <cp:category>Presseinformation</cp:category>
</cp:coreProperties>
</file>