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B37FD9B" w14:textId="77777777" w:rsidR="00B81ED6" w:rsidRPr="00407FDC" w:rsidRDefault="00B81ED6" w:rsidP="00033002">
      <w:pPr>
        <w:pStyle w:val="TitleLogotoprightLH"/>
        <w:framePr w:h="1021" w:hRule="exact" w:wrap="notBeside"/>
      </w:pPr>
    </w:p>
    <w:p w14:paraId="3E08EFD0" w14:textId="14DE5EAA" w:rsidR="00B81ED6" w:rsidRPr="00407FDC" w:rsidRDefault="00330724" w:rsidP="00EA26F3">
      <w:pPr>
        <w:pStyle w:val="Topline16"/>
      </w:pPr>
      <w:sdt>
        <w:sdtPr>
          <w:rPr>
            <w:rFonts w:cs="Arial"/>
            <w:szCs w:val="33"/>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407FDC" w:rsidRPr="00407FDC">
            <w:rPr>
              <w:rFonts w:cs="Arial"/>
              <w:szCs w:val="33"/>
            </w:rPr>
            <w:t>Communiqué de presse</w:t>
          </w:r>
        </w:sdtContent>
      </w:sdt>
    </w:p>
    <w:p w14:paraId="77E4C37E" w14:textId="0FC37060" w:rsidR="00F62892" w:rsidRPr="00407FDC" w:rsidRDefault="00330724" w:rsidP="00AC2129">
      <w:pPr>
        <w:pStyle w:val="Titel"/>
        <w:spacing w:line="660" w:lineRule="exact"/>
      </w:pPr>
      <w:sdt>
        <w:sdtPr>
          <w:rPr>
            <w:szCs w:val="32"/>
          </w:rPr>
          <w:alias w:val="TITRE"/>
          <w:tag w:val=""/>
          <w:id w:val="1012880580"/>
          <w:placeholder>
            <w:docPart w:val="8FFACF0FF6B74D0AB72C7E22A553B99B"/>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407FDC" w:rsidRPr="00407FDC">
            <w:rPr>
              <w:szCs w:val="32"/>
            </w:rPr>
            <w:t>Liebherr et AMETEK MRO AEM coopèrent pour la révision des trains d’atterrissage E-Jet E1</w:t>
          </w:r>
        </w:sdtContent>
      </w:sdt>
    </w:p>
    <w:p w14:paraId="1E2CBD2D" w14:textId="77777777" w:rsidR="00B81ED6" w:rsidRPr="00407FDC" w:rsidRDefault="00B81ED6" w:rsidP="00B81ED6">
      <w:pPr>
        <w:pStyle w:val="HeadlineH233Pt"/>
        <w:spacing w:before="240" w:after="240" w:line="140" w:lineRule="exact"/>
        <w:rPr>
          <w:rFonts w:ascii="Tahoma" w:hAnsi="Tahoma" w:cs="Tahoma"/>
        </w:rPr>
      </w:pPr>
      <w:r w:rsidRPr="00407FDC">
        <w:rPr>
          <w:rFonts w:ascii="Tahoma" w:hAnsi="Tahoma"/>
        </w:rPr>
        <w:t>⸺</w:t>
      </w:r>
    </w:p>
    <w:p w14:paraId="1A472D97" w14:textId="145EAABA" w:rsidR="007B316F" w:rsidRPr="00407FDC" w:rsidRDefault="007B316F" w:rsidP="007B316F">
      <w:pPr>
        <w:pStyle w:val="StandardWeb"/>
        <w:spacing w:after="225"/>
        <w:rPr>
          <w:rFonts w:ascii="Arial" w:hAnsi="Arial"/>
          <w:b/>
          <w:bCs/>
          <w:noProof/>
        </w:rPr>
      </w:pPr>
      <w:r w:rsidRPr="00407FDC">
        <w:rPr>
          <w:rFonts w:ascii="Arial" w:hAnsi="Arial"/>
          <w:b/>
        </w:rPr>
        <w:t>Liebherr-Aerospace et AEM ont annoncé lors du salon MRO Europe</w:t>
      </w:r>
      <w:r w:rsidR="00407FDC" w:rsidRPr="00407FDC">
        <w:rPr>
          <w:rFonts w:ascii="Arial" w:hAnsi="Arial"/>
          <w:b/>
        </w:rPr>
        <w:t> </w:t>
      </w:r>
      <w:r w:rsidRPr="00407FDC">
        <w:rPr>
          <w:rFonts w:ascii="Arial" w:hAnsi="Arial"/>
          <w:b/>
        </w:rPr>
        <w:t>2022 la signature d’un accord de coopération en matière de services de pointe de maintenance, de réparation et de révision (MRO) des trains d’atterrissage pour les opérateurs Embraer E-Jet</w:t>
      </w:r>
      <w:r w:rsidR="00407FDC" w:rsidRPr="00407FDC">
        <w:rPr>
          <w:rFonts w:ascii="Arial" w:hAnsi="Arial"/>
          <w:b/>
        </w:rPr>
        <w:t> </w:t>
      </w:r>
      <w:r w:rsidRPr="00407FDC">
        <w:rPr>
          <w:rFonts w:ascii="Arial" w:hAnsi="Arial"/>
          <w:b/>
        </w:rPr>
        <w:t xml:space="preserve">E1 dans la région EMEA. </w:t>
      </w:r>
    </w:p>
    <w:p w14:paraId="407B970A" w14:textId="6D1F71B7" w:rsidR="00A12CA0" w:rsidRPr="00407FDC" w:rsidRDefault="007B316F" w:rsidP="007B316F">
      <w:pPr>
        <w:pStyle w:val="StandardWeb"/>
        <w:spacing w:after="225"/>
        <w:rPr>
          <w:rFonts w:ascii="Arial" w:eastAsia="Calibri" w:hAnsi="Arial" w:cs="Arial"/>
          <w:sz w:val="22"/>
          <w:szCs w:val="22"/>
        </w:rPr>
      </w:pPr>
      <w:r w:rsidRPr="00407FDC">
        <w:rPr>
          <w:rFonts w:ascii="Arial" w:hAnsi="Arial"/>
          <w:sz w:val="22"/>
        </w:rPr>
        <w:t xml:space="preserve">Londres (RU), Octobre 2022 – Soutenu par la demande forte et stable de services de maintenance, de réparation et de révision de trains d’atterrissage dans la région EMEA, ce partenariat permet à Liebherr-Aerospace de confier les travaux </w:t>
      </w:r>
      <w:r w:rsidR="00DB7620">
        <w:rPr>
          <w:rFonts w:ascii="Arial" w:hAnsi="Arial"/>
          <w:sz w:val="22"/>
        </w:rPr>
        <w:t>concernant les</w:t>
      </w:r>
      <w:r w:rsidR="00DB7620" w:rsidRPr="00407FDC">
        <w:rPr>
          <w:rFonts w:ascii="Arial" w:hAnsi="Arial"/>
          <w:sz w:val="22"/>
        </w:rPr>
        <w:t xml:space="preserve"> </w:t>
      </w:r>
      <w:r w:rsidRPr="00407FDC">
        <w:rPr>
          <w:rFonts w:ascii="Arial" w:hAnsi="Arial"/>
          <w:sz w:val="22"/>
        </w:rPr>
        <w:t>trains d’atterrissage sous contrat à AEM, un prestataire de services de maintenance, de réparation et de révision de trains d’atterrissage basé à Ramsgate au Royaume-Uni, particulièrement qualifié et bien établi. L’accord augmentera le nombre de créneaux de révision disponibles pour les avions E-Jet</w:t>
      </w:r>
      <w:r w:rsidR="00407FDC" w:rsidRPr="00407FDC">
        <w:rPr>
          <w:rFonts w:ascii="Arial" w:hAnsi="Arial"/>
          <w:sz w:val="22"/>
        </w:rPr>
        <w:t> </w:t>
      </w:r>
      <w:r w:rsidRPr="00407FDC">
        <w:rPr>
          <w:rFonts w:ascii="Arial" w:hAnsi="Arial"/>
          <w:sz w:val="22"/>
        </w:rPr>
        <w:t xml:space="preserve">E1 et renforcera la fiabilité de l’offre de services.  </w:t>
      </w:r>
      <w:r w:rsidRPr="00407FDC">
        <w:rPr>
          <w:rFonts w:ascii="Arial" w:hAnsi="Arial"/>
          <w:sz w:val="22"/>
        </w:rPr>
        <w:br/>
      </w:r>
      <w:r w:rsidRPr="00407FDC">
        <w:rPr>
          <w:rFonts w:ascii="Arial" w:hAnsi="Arial"/>
          <w:sz w:val="22"/>
        </w:rPr>
        <w:br/>
        <w:t xml:space="preserve">Christian Franz, Director Customer Service de Liebherr-Aerospace Lindenberg (Allemagne), explique : « Ce partenariat </w:t>
      </w:r>
      <w:r w:rsidR="003341A7">
        <w:rPr>
          <w:rFonts w:ascii="Arial" w:hAnsi="Arial"/>
          <w:sz w:val="22"/>
        </w:rPr>
        <w:t>permettra</w:t>
      </w:r>
      <w:r w:rsidRPr="00407FDC">
        <w:rPr>
          <w:rFonts w:ascii="Arial" w:hAnsi="Arial"/>
          <w:sz w:val="22"/>
        </w:rPr>
        <w:t xml:space="preserve"> plus de flexibilité et de disponibilité dans la planification et la sélection des créneaux de révision</w:t>
      </w:r>
      <w:r w:rsidR="00407FDC" w:rsidRPr="00407FDC">
        <w:rPr>
          <w:rFonts w:ascii="Arial" w:hAnsi="Arial"/>
          <w:sz w:val="22"/>
        </w:rPr>
        <w:t> </w:t>
      </w:r>
      <w:r w:rsidRPr="00407FDC">
        <w:rPr>
          <w:rFonts w:ascii="Arial" w:hAnsi="Arial"/>
          <w:sz w:val="22"/>
        </w:rPr>
        <w:t>: il optimisera l’exploitation de la flotte de nos clients E-Jet</w:t>
      </w:r>
      <w:r w:rsidR="00407FDC" w:rsidRPr="00407FDC">
        <w:rPr>
          <w:rFonts w:ascii="Arial" w:hAnsi="Arial"/>
          <w:sz w:val="22"/>
        </w:rPr>
        <w:t> </w:t>
      </w:r>
      <w:r w:rsidRPr="00407FDC">
        <w:rPr>
          <w:rFonts w:ascii="Arial" w:hAnsi="Arial"/>
          <w:sz w:val="22"/>
        </w:rPr>
        <w:t>E1. »</w:t>
      </w:r>
      <w:r w:rsidRPr="00407FDC">
        <w:rPr>
          <w:rFonts w:ascii="Arial" w:hAnsi="Arial"/>
          <w:sz w:val="22"/>
        </w:rPr>
        <w:br/>
      </w:r>
      <w:r w:rsidRPr="00407FDC">
        <w:rPr>
          <w:rFonts w:ascii="Arial" w:hAnsi="Arial"/>
          <w:sz w:val="22"/>
        </w:rPr>
        <w:br/>
        <w:t xml:space="preserve">Andy Wheeler, DVP and </w:t>
      </w:r>
      <w:proofErr w:type="spellStart"/>
      <w:r w:rsidRPr="00407FDC">
        <w:rPr>
          <w:rFonts w:ascii="Arial" w:hAnsi="Arial"/>
          <w:sz w:val="22"/>
        </w:rPr>
        <w:t>Managing</w:t>
      </w:r>
      <w:proofErr w:type="spellEnd"/>
      <w:r w:rsidRPr="00407FDC">
        <w:rPr>
          <w:rFonts w:ascii="Arial" w:hAnsi="Arial"/>
          <w:sz w:val="22"/>
        </w:rPr>
        <w:t xml:space="preserve"> Director d’AEM, a déclaré : « AEM est ravi de s’associer à Liebherr-Aerospace pour fournir des services de révision des trains d’atterrissage E-Jet. Notre équipe de Ramsgate travaille depuis de nombreuses années dans la prestation de services de qualité aux clients de Liebherr-Aerospace.   Ce partenariat confirme notre statut de leader des services de trains d’atterrissage et complète les capacités en matière de systèmes d’atterrissage offertes par AMETEK MRO. »</w:t>
      </w:r>
      <w:r w:rsidRPr="00407FDC">
        <w:rPr>
          <w:rFonts w:ascii="Arial" w:hAnsi="Arial"/>
          <w:sz w:val="22"/>
        </w:rPr>
        <w:br/>
      </w:r>
    </w:p>
    <w:p w14:paraId="605E2615" w14:textId="77777777" w:rsidR="00E71E43" w:rsidRPr="00407FDC" w:rsidRDefault="00E71E43" w:rsidP="00E71E43">
      <w:pPr>
        <w:pStyle w:val="BoilerplateCopyhead9Pt"/>
      </w:pPr>
      <w:r w:rsidRPr="00407FDC">
        <w:t>À propos de Liebherr-Aerospace &amp; Transportation</w:t>
      </w:r>
    </w:p>
    <w:p w14:paraId="16E7F076" w14:textId="7D8E3D65" w:rsidR="00E71E43" w:rsidRPr="00407FDC" w:rsidRDefault="00E71E43" w:rsidP="00E71E43">
      <w:pPr>
        <w:pStyle w:val="BoilerplateCopyhead9Pt"/>
        <w:rPr>
          <w:b w:val="0"/>
        </w:rPr>
      </w:pPr>
      <w:r w:rsidRPr="00407FDC">
        <w:rPr>
          <w:b w:val="0"/>
        </w:rPr>
        <w:t xml:space="preserve">Liebherr-Aerospace &amp; Transportation SAS, Toulouse (France) est l’une des onze Holdings de branche du Groupe Liebherr. Elle dirige et coordonne l’ensemble des activités aéronautiques et ferroviaires du Groupe. </w:t>
      </w:r>
    </w:p>
    <w:p w14:paraId="5B00A9DE" w14:textId="77777777" w:rsidR="00F06CD1" w:rsidRPr="00407FDC" w:rsidRDefault="00E71E43" w:rsidP="00E71E43">
      <w:pPr>
        <w:pStyle w:val="BoilerplateCopyhead9Pt"/>
        <w:rPr>
          <w:b w:val="0"/>
        </w:rPr>
      </w:pPr>
      <w:r w:rsidRPr="00407FDC">
        <w:rPr>
          <w:b w:val="0"/>
        </w:rPr>
        <w:t>Avec plus de soixante ans d’expérience, Liebherr-Aerospace est un fournisseur majeur de systèmes pour l’industrie aéronautique. Ses produits pour les applications civiles et militaires couvrent les actionneurs et les systèmes de commande de vol, les trains d’atterrissage et les systèmes d’air, ainsi que les engrenages pour boîte de transmission. Ses systèmes équipent des avions commerciaux, de transport régional et d’affaires, des avions de combat, de transport et d’entraînement militaires, ainsi que sur des hélicoptères civils et militaires.</w:t>
      </w:r>
    </w:p>
    <w:p w14:paraId="4381A308" w14:textId="79B463B9" w:rsidR="00F06CD1" w:rsidRPr="00407FDC" w:rsidRDefault="00E71E43" w:rsidP="009620F5">
      <w:pPr>
        <w:pStyle w:val="BoilerplateCopyhead9Pt"/>
        <w:rPr>
          <w:b w:val="0"/>
        </w:rPr>
      </w:pPr>
      <w:r w:rsidRPr="00407FDC">
        <w:rPr>
          <w:b w:val="0"/>
        </w:rPr>
        <w:t>La division Aéronautique et Ferroviaire du Groupe Liebherr emploie environ 6000</w:t>
      </w:r>
      <w:r w:rsidR="00407FDC" w:rsidRPr="00407FDC">
        <w:rPr>
          <w:b w:val="0"/>
        </w:rPr>
        <w:t> </w:t>
      </w:r>
      <w:r w:rsidRPr="00407FDC">
        <w:rPr>
          <w:b w:val="0"/>
        </w:rPr>
        <w:t>salariés. Ses quatre sites de production de systèmes et équipements aéronautiques sont situés à Lindenberg (Allemagne), Toulouse (France), Guaratinguetá (Brésil) et Nijni Novgorod (Russie). Liebherr-Aerospace réalise également ses prestations de service clients à partir de ses implantations situées à Saline, Michigan (USA), Seattle, Washington (USA), Montréal (Canada), Hambourg (Allemagne), Dubaï (Émirats Arabes Unis), Bangalore (Inde), Singapour et Shanghai (République populaire de Chine).</w:t>
      </w:r>
    </w:p>
    <w:p w14:paraId="656DC3DF" w14:textId="77777777" w:rsidR="007933F0" w:rsidRPr="00407FDC" w:rsidRDefault="007933F0" w:rsidP="009620F5">
      <w:pPr>
        <w:pStyle w:val="BoilerplateCopyhead9Pt"/>
        <w:rPr>
          <w:b w:val="0"/>
        </w:rPr>
      </w:pPr>
    </w:p>
    <w:p w14:paraId="5F584DA2" w14:textId="77777777" w:rsidR="009620F5" w:rsidRPr="00407FDC" w:rsidRDefault="009620F5" w:rsidP="009620F5">
      <w:pPr>
        <w:pStyle w:val="BoilerplateCopyhead9Pt"/>
      </w:pPr>
      <w:r w:rsidRPr="00407FDC">
        <w:t>À propos du Groupe Liebherr</w:t>
      </w:r>
    </w:p>
    <w:p w14:paraId="3FE4C51C" w14:textId="4B961880" w:rsidR="005967CC" w:rsidRDefault="009620F5" w:rsidP="00415B65">
      <w:pPr>
        <w:pStyle w:val="BoilerplateCopytext9Pt"/>
      </w:pPr>
      <w:r w:rsidRPr="00407FDC">
        <w:t>Le Groupe Liebherr est une entreprise technologique familiale proposant une gamme de produits très diversifiée. L</w:t>
      </w:r>
      <w:r w:rsidR="00407FDC" w:rsidRPr="00407FDC">
        <w:t>’</w:t>
      </w:r>
      <w:r w:rsidRPr="00407FDC">
        <w:t>entreprise figure parmi les plus grands fabricants mondiaux d’engins de construction. Elle offre également dans de nombreux autres domaines des produits et services haut de gamme axés sur les besoins des utilisateurs. Le Groupe compte aujourd</w:t>
      </w:r>
      <w:r w:rsidR="00407FDC" w:rsidRPr="00407FDC">
        <w:t>’</w:t>
      </w:r>
      <w:r w:rsidRPr="00407FDC">
        <w:t>hui plus de 140</w:t>
      </w:r>
      <w:r w:rsidR="00407FDC" w:rsidRPr="00407FDC">
        <w:t> </w:t>
      </w:r>
      <w:r w:rsidRPr="00407FDC">
        <w:t>sociétés sur tous les continents. En 2021, il a employé plus de 49</w:t>
      </w:r>
      <w:r w:rsidR="00407FDC" w:rsidRPr="00407FDC">
        <w:t> </w:t>
      </w:r>
      <w:r w:rsidRPr="00407FDC">
        <w:t>000</w:t>
      </w:r>
      <w:r w:rsidR="00407FDC" w:rsidRPr="00407FDC">
        <w:t> </w:t>
      </w:r>
      <w:r w:rsidRPr="00407FDC">
        <w:t>personnes et a enregistré un chiffre d</w:t>
      </w:r>
      <w:r w:rsidR="00407FDC" w:rsidRPr="00407FDC">
        <w:t>’</w:t>
      </w:r>
      <w:r w:rsidRPr="00407FDC">
        <w:t>affaires consolidé de plus de 11,6</w:t>
      </w:r>
      <w:r w:rsidR="00407FDC" w:rsidRPr="00407FDC">
        <w:t> </w:t>
      </w:r>
      <w:r w:rsidRPr="00407FDC">
        <w:t>milliards d</w:t>
      </w:r>
      <w:r w:rsidR="00407FDC" w:rsidRPr="00407FDC">
        <w:t>’</w:t>
      </w:r>
      <w:r w:rsidRPr="00407FDC">
        <w:t xml:space="preserve">euros. Liebherr a été fondé en 1949 à </w:t>
      </w:r>
      <w:proofErr w:type="spellStart"/>
      <w:r w:rsidRPr="00407FDC">
        <w:t>Kirchdorf</w:t>
      </w:r>
      <w:proofErr w:type="spellEnd"/>
      <w:r w:rsidRPr="00407FDC">
        <w:t xml:space="preserve"> an der Iller, dans le sud de l</w:t>
      </w:r>
      <w:r w:rsidR="00407FDC" w:rsidRPr="00407FDC">
        <w:t>’</w:t>
      </w:r>
      <w:r w:rsidRPr="00407FDC">
        <w:t>Allemagne. Depuis, les employés ont pour objectif de convaincre leurs clients par des solutions exigeantes tout en contribuant au progrès technologique.</w:t>
      </w:r>
    </w:p>
    <w:p w14:paraId="5836C343" w14:textId="77777777" w:rsidR="005F4969" w:rsidRPr="00407FDC" w:rsidRDefault="005F4969" w:rsidP="00415B65">
      <w:pPr>
        <w:pStyle w:val="BoilerplateCopytext9Pt"/>
      </w:pPr>
    </w:p>
    <w:p w14:paraId="2213EEBC" w14:textId="3355455F" w:rsidR="00D01CC9" w:rsidRPr="00407FDC" w:rsidRDefault="00D01CC9" w:rsidP="00D01CC9">
      <w:pPr>
        <w:pStyle w:val="BoilerplateCopytext9Pt"/>
        <w:rPr>
          <w:b/>
          <w:bCs/>
        </w:rPr>
      </w:pPr>
      <w:r w:rsidRPr="00407FDC">
        <w:rPr>
          <w:b/>
        </w:rPr>
        <w:t>À propos d</w:t>
      </w:r>
      <w:r w:rsidR="00407FDC" w:rsidRPr="00407FDC">
        <w:rPr>
          <w:b/>
        </w:rPr>
        <w:t>’</w:t>
      </w:r>
      <w:r w:rsidRPr="00407FDC">
        <w:rPr>
          <w:b/>
        </w:rPr>
        <w:t>AEM</w:t>
      </w:r>
    </w:p>
    <w:p w14:paraId="148D7DB3" w14:textId="6A5A5DE2" w:rsidR="00D01CC9" w:rsidRPr="00407FDC" w:rsidRDefault="00901322" w:rsidP="00D01CC9">
      <w:pPr>
        <w:pStyle w:val="BoilerplateCopytext9Pt"/>
        <w:rPr>
          <w:bCs/>
        </w:rPr>
      </w:pPr>
      <w:r w:rsidRPr="00407FDC">
        <w:t>Principal acteur indépendant de la révision et de la réparation en Europe depuis plus de 60</w:t>
      </w:r>
      <w:r w:rsidR="00407FDC" w:rsidRPr="00407FDC">
        <w:t> </w:t>
      </w:r>
      <w:r w:rsidRPr="00407FDC">
        <w:t xml:space="preserve">ans, AEM jouit d’une solide réputation dans l’industrie </w:t>
      </w:r>
      <w:r w:rsidR="003341A7">
        <w:t>aéronautique</w:t>
      </w:r>
      <w:r w:rsidR="003341A7" w:rsidRPr="00407FDC">
        <w:t xml:space="preserve"> </w:t>
      </w:r>
      <w:r w:rsidRPr="00407FDC">
        <w:t>et fournit des services variés aux compagnies aériennes internationales et régionales, aux exploitants d’hélicoptères et aux avionneurs. Réparties sur trois sites au Royaume-Uni, les activités d’AEM couvrent les bobinages, l’alimentation électrique, les composants hydrauliques, les trains d’atterrissage et les équipements de sécurité aéronautiques.</w:t>
      </w:r>
    </w:p>
    <w:p w14:paraId="7E1799B5" w14:textId="4A421BBB" w:rsidR="00A26BBC" w:rsidRPr="00407FDC" w:rsidRDefault="00A26BBC" w:rsidP="00D01CC9">
      <w:pPr>
        <w:pStyle w:val="BoilerplateCopytext9Pt"/>
        <w:rPr>
          <w:b/>
          <w:bCs/>
        </w:rPr>
      </w:pPr>
      <w:r w:rsidRPr="00407FDC">
        <w:rPr>
          <w:b/>
        </w:rPr>
        <w:t>À propos d’AMETEK MRO</w:t>
      </w:r>
    </w:p>
    <w:p w14:paraId="227A689F" w14:textId="3E128B73" w:rsidR="00286C2D" w:rsidRPr="00407FDC" w:rsidRDefault="00013D75" w:rsidP="00D01CC9">
      <w:pPr>
        <w:pStyle w:val="BoilerplateCopytext9Pt"/>
      </w:pPr>
      <w:r w:rsidRPr="00407FDC">
        <w:t xml:space="preserve">AMETEK MRO est une division d’AMETEK </w:t>
      </w:r>
      <w:proofErr w:type="spellStart"/>
      <w:r w:rsidRPr="00407FDC">
        <w:t>Inc</w:t>
      </w:r>
      <w:proofErr w:type="spellEnd"/>
      <w:r w:rsidRPr="00407FDC">
        <w:t xml:space="preserve"> et un prestataire mondial très respecté de services de maintenance, de réparation et de révision pour les marchés secondaires de l’aviation commerciale, régionale et générale. Grâce à ses 13</w:t>
      </w:r>
      <w:r w:rsidR="00407FDC" w:rsidRPr="00407FDC">
        <w:t> </w:t>
      </w:r>
      <w:r w:rsidRPr="00407FDC">
        <w:t>sites à l’implantation stratégique, AMETEK MRO est capable d’entretenir plus de 40</w:t>
      </w:r>
      <w:r w:rsidR="00407FDC" w:rsidRPr="00407FDC">
        <w:t> </w:t>
      </w:r>
      <w:r w:rsidRPr="00407FDC">
        <w:t>000</w:t>
      </w:r>
      <w:r w:rsidR="00407FDC" w:rsidRPr="00407FDC">
        <w:t> </w:t>
      </w:r>
      <w:r w:rsidRPr="00407FDC">
        <w:t xml:space="preserve">composants d’avions par l’intermédiaire de ses marques :  AEM, </w:t>
      </w:r>
      <w:proofErr w:type="spellStart"/>
      <w:r w:rsidRPr="00407FDC">
        <w:t>Aeromedic</w:t>
      </w:r>
      <w:proofErr w:type="spellEnd"/>
      <w:r w:rsidRPr="00407FDC">
        <w:t xml:space="preserve">, </w:t>
      </w:r>
      <w:proofErr w:type="spellStart"/>
      <w:r w:rsidRPr="00407FDC">
        <w:t>Ameron</w:t>
      </w:r>
      <w:proofErr w:type="spellEnd"/>
      <w:r w:rsidRPr="00407FDC">
        <w:t xml:space="preserve">, AMETEK Singapore, </w:t>
      </w:r>
      <w:proofErr w:type="spellStart"/>
      <w:r w:rsidRPr="00407FDC">
        <w:t>Antavia</w:t>
      </w:r>
      <w:proofErr w:type="spellEnd"/>
      <w:r w:rsidRPr="00407FDC">
        <w:t xml:space="preserve">, </w:t>
      </w:r>
      <w:proofErr w:type="spellStart"/>
      <w:r w:rsidRPr="00407FDC">
        <w:t>Avtech</w:t>
      </w:r>
      <w:proofErr w:type="spellEnd"/>
      <w:r w:rsidRPr="00407FDC">
        <w:t xml:space="preserve"> </w:t>
      </w:r>
      <w:proofErr w:type="spellStart"/>
      <w:r w:rsidRPr="00407FDC">
        <w:t>Avionics</w:t>
      </w:r>
      <w:proofErr w:type="spellEnd"/>
      <w:r w:rsidRPr="00407FDC">
        <w:t xml:space="preserve"> and Instruments, B&amp;S Aircraft, Drake Air, Muirhead </w:t>
      </w:r>
      <w:proofErr w:type="spellStart"/>
      <w:r w:rsidRPr="00407FDC">
        <w:t>Avionics</w:t>
      </w:r>
      <w:proofErr w:type="spellEnd"/>
      <w:r w:rsidRPr="00407FDC">
        <w:t xml:space="preserve"> et </w:t>
      </w:r>
      <w:proofErr w:type="spellStart"/>
      <w:r w:rsidRPr="00407FDC">
        <w:t>Southern</w:t>
      </w:r>
      <w:proofErr w:type="spellEnd"/>
      <w:r w:rsidRPr="00407FDC">
        <w:t xml:space="preserve"> </w:t>
      </w:r>
      <w:proofErr w:type="spellStart"/>
      <w:r w:rsidRPr="00407FDC">
        <w:t>Aeroparts</w:t>
      </w:r>
      <w:proofErr w:type="spellEnd"/>
      <w:r w:rsidRPr="00407FDC">
        <w:t>.</w:t>
      </w:r>
    </w:p>
    <w:p w14:paraId="5D02AAE4" w14:textId="34D62203" w:rsidR="003D2F3D" w:rsidRDefault="003D2F3D" w:rsidP="00D01CC9">
      <w:pPr>
        <w:pStyle w:val="BoilerplateCopytext9Pt"/>
      </w:pPr>
      <w:r w:rsidRPr="00407FDC">
        <w:t>AMETEK, Inc. (NYSE: AME) est l’un des principaux fabricants mondiaux d’instruments électroniques et d’appareils électromécaniques, avec un chiffre d’affaires moyen annuel de quelque 5,5</w:t>
      </w:r>
      <w:r w:rsidR="00407FDC" w:rsidRPr="00407FDC">
        <w:t> </w:t>
      </w:r>
      <w:r w:rsidRPr="00407FDC">
        <w:t>milliards de dollars. L’action AMETEK est cotée au S&amp;P 500.</w:t>
      </w:r>
    </w:p>
    <w:p w14:paraId="15E39E2A" w14:textId="77777777" w:rsidR="00316CA8" w:rsidRPr="00407FDC" w:rsidRDefault="00316CA8" w:rsidP="00D01CC9">
      <w:pPr>
        <w:pStyle w:val="BoilerplateCopytext9Pt"/>
        <w:rPr>
          <w:b/>
          <w:bCs/>
        </w:rPr>
      </w:pPr>
    </w:p>
    <w:p w14:paraId="4F8F8770" w14:textId="0ED6F344" w:rsidR="00086BB3" w:rsidRPr="00407FDC" w:rsidRDefault="005967CC" w:rsidP="00B3081B">
      <w:pPr>
        <w:pStyle w:val="Copyhead11Pt"/>
      </w:pPr>
      <w:r w:rsidRPr="00407FDC">
        <w:br/>
        <w:t>Images</w:t>
      </w:r>
    </w:p>
    <w:p w14:paraId="32998199" w14:textId="68711CE1" w:rsidR="005967CC" w:rsidRPr="00407FDC" w:rsidRDefault="00FE363F" w:rsidP="009A3D17">
      <w:pPr>
        <w:rPr>
          <w:rFonts w:ascii="Arial" w:hAnsi="Arial" w:cs="Arial"/>
          <w:sz w:val="18"/>
          <w:szCs w:val="18"/>
        </w:rPr>
      </w:pPr>
      <w:r w:rsidRPr="00407FDC">
        <w:rPr>
          <w:rFonts w:ascii="Arial" w:hAnsi="Arial"/>
          <w:noProof/>
          <w:sz w:val="18"/>
          <w:lang w:val="de-DE" w:eastAsia="de-DE"/>
        </w:rPr>
        <w:drawing>
          <wp:inline distT="0" distB="0" distL="0" distR="0" wp14:anchorId="6016974B" wp14:editId="702182CC">
            <wp:extent cx="1950720" cy="1300543"/>
            <wp:effectExtent l="0" t="0" r="0" b="0"/>
            <wp:docPr id="3" name="Picture 3" descr="A person working on a machin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erson working on a machine&#10;&#10;Description automatically generated with medium confidenc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966449" cy="1311030"/>
                    </a:xfrm>
                    <a:prstGeom prst="rect">
                      <a:avLst/>
                    </a:prstGeom>
                  </pic:spPr>
                </pic:pic>
              </a:graphicData>
            </a:graphic>
          </wp:inline>
        </w:drawing>
      </w:r>
      <w:r w:rsidR="005F4969">
        <w:rPr>
          <w:rFonts w:ascii="Arial" w:hAnsi="Arial" w:cs="Arial"/>
          <w:sz w:val="18"/>
          <w:szCs w:val="18"/>
        </w:rPr>
        <w:br/>
      </w:r>
      <w:r w:rsidR="005F4969" w:rsidRPr="005F4969">
        <w:rPr>
          <w:rFonts w:ascii="Arial" w:hAnsi="Arial" w:cs="Arial"/>
          <w:sz w:val="18"/>
          <w:szCs w:val="18"/>
        </w:rPr>
        <w:t>Landing Gear-copyright-AEM-AMETEK-MRO.jpg</w:t>
      </w:r>
    </w:p>
    <w:p w14:paraId="46465E2B" w14:textId="1BBF41C5" w:rsidR="007933F0" w:rsidRDefault="000514F2" w:rsidP="009A3D17">
      <w:pPr>
        <w:rPr>
          <w:rFonts w:ascii="Arial" w:hAnsi="Arial"/>
          <w:sz w:val="18"/>
        </w:rPr>
      </w:pPr>
      <w:r w:rsidRPr="00407FDC">
        <w:rPr>
          <w:rFonts w:ascii="Arial" w:hAnsi="Arial"/>
          <w:sz w:val="18"/>
        </w:rPr>
        <w:t>Train d’atterrissage en atelier de révision – © AMETEK</w:t>
      </w:r>
    </w:p>
    <w:p w14:paraId="134AEB40" w14:textId="16E902EB" w:rsidR="005F4969" w:rsidRDefault="005F4969" w:rsidP="009A3D17">
      <w:pPr>
        <w:rPr>
          <w:rFonts w:ascii="Arial" w:hAnsi="Arial"/>
          <w:sz w:val="18"/>
        </w:rPr>
      </w:pPr>
    </w:p>
    <w:p w14:paraId="0421A1DB" w14:textId="385667DA" w:rsidR="005F4969" w:rsidRDefault="005F4969" w:rsidP="009A3D17">
      <w:pPr>
        <w:rPr>
          <w:rFonts w:ascii="Arial" w:hAnsi="Arial"/>
          <w:sz w:val="18"/>
        </w:rPr>
      </w:pPr>
    </w:p>
    <w:p w14:paraId="65DADFD9" w14:textId="00B72E83" w:rsidR="005F4969" w:rsidRDefault="005F4969" w:rsidP="009A3D17">
      <w:pPr>
        <w:rPr>
          <w:rFonts w:ascii="Arial" w:hAnsi="Arial"/>
          <w:sz w:val="18"/>
        </w:rPr>
      </w:pPr>
    </w:p>
    <w:p w14:paraId="0E801389" w14:textId="7273D914" w:rsidR="005F4969" w:rsidRDefault="005F4969" w:rsidP="009A3D17">
      <w:pPr>
        <w:rPr>
          <w:rFonts w:ascii="Arial" w:hAnsi="Arial"/>
          <w:sz w:val="18"/>
        </w:rPr>
      </w:pPr>
    </w:p>
    <w:p w14:paraId="615BD631" w14:textId="10FD58D8" w:rsidR="005F4969" w:rsidRDefault="005F4969" w:rsidP="009A3D17">
      <w:pPr>
        <w:rPr>
          <w:rFonts w:ascii="Arial" w:hAnsi="Arial"/>
          <w:sz w:val="18"/>
        </w:rPr>
      </w:pPr>
    </w:p>
    <w:p w14:paraId="3866F6BA" w14:textId="7A9511B2" w:rsidR="00086BB3" w:rsidRDefault="00086BB3" w:rsidP="000514F2">
      <w:pPr>
        <w:rPr>
          <w:rFonts w:ascii="Arial" w:hAnsi="Arial" w:cs="Arial"/>
          <w:sz w:val="18"/>
          <w:szCs w:val="18"/>
        </w:rPr>
      </w:pPr>
    </w:p>
    <w:p w14:paraId="16614FAC" w14:textId="52A9C3F2" w:rsidR="005F4969" w:rsidRDefault="005F4969" w:rsidP="000514F2">
      <w:pPr>
        <w:rPr>
          <w:rFonts w:ascii="Arial" w:hAnsi="Arial" w:cs="Arial"/>
          <w:sz w:val="18"/>
          <w:szCs w:val="18"/>
        </w:rPr>
      </w:pPr>
      <w:r w:rsidRPr="008A71C2">
        <w:rPr>
          <w:rFonts w:ascii="Arial" w:hAnsi="Arial" w:cs="Arial"/>
          <w:noProof/>
          <w:sz w:val="18"/>
          <w:szCs w:val="18"/>
          <w:lang w:val="de-DE" w:eastAsia="de-DE"/>
        </w:rPr>
        <w:drawing>
          <wp:inline distT="0" distB="0" distL="0" distR="0" wp14:anchorId="276D856D" wp14:editId="4C933DD3">
            <wp:extent cx="2202180" cy="1409923"/>
            <wp:effectExtent l="0" t="0" r="762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2226690" cy="1425615"/>
                    </a:xfrm>
                    <a:prstGeom prst="rect">
                      <a:avLst/>
                    </a:prstGeom>
                  </pic:spPr>
                </pic:pic>
              </a:graphicData>
            </a:graphic>
          </wp:inline>
        </w:drawing>
      </w:r>
    </w:p>
    <w:p w14:paraId="25AE2443" w14:textId="77777777" w:rsidR="005F4969" w:rsidRPr="005F4969" w:rsidRDefault="005F4969" w:rsidP="005F4969">
      <w:pPr>
        <w:rPr>
          <w:rFonts w:ascii="Arial" w:hAnsi="Arial" w:cs="Arial"/>
          <w:sz w:val="18"/>
          <w:szCs w:val="18"/>
        </w:rPr>
      </w:pPr>
      <w:r w:rsidRPr="005F4969">
        <w:rPr>
          <w:rFonts w:ascii="Arial" w:hAnsi="Arial" w:cs="Arial"/>
          <w:sz w:val="18"/>
          <w:szCs w:val="18"/>
        </w:rPr>
        <w:t>liebherr-ametek-mro-landing-gear-mou-picture-copyright-liebherr.jpg</w:t>
      </w:r>
    </w:p>
    <w:p w14:paraId="55CF0F6D" w14:textId="77545AF5" w:rsidR="005F4969" w:rsidRDefault="00330724" w:rsidP="005F4969">
      <w:pPr>
        <w:rPr>
          <w:rFonts w:ascii="Arial" w:hAnsi="Arial" w:cs="Arial"/>
          <w:sz w:val="18"/>
          <w:szCs w:val="18"/>
        </w:rPr>
      </w:pPr>
      <w:r>
        <w:rPr>
          <w:rFonts w:ascii="Arial" w:hAnsi="Arial" w:cs="Arial"/>
          <w:sz w:val="18"/>
          <w:szCs w:val="18"/>
        </w:rPr>
        <w:t>Lors de</w:t>
      </w:r>
      <w:r w:rsidR="005F4969" w:rsidRPr="005F4969">
        <w:rPr>
          <w:rFonts w:ascii="Arial" w:hAnsi="Arial" w:cs="Arial"/>
          <w:sz w:val="18"/>
          <w:szCs w:val="18"/>
        </w:rPr>
        <w:t xml:space="preserve"> la cérémonie de signature, de gauche à droite:  Sven Dicke, VP MRO </w:t>
      </w:r>
      <w:proofErr w:type="spellStart"/>
      <w:r w:rsidR="005F4969" w:rsidRPr="005F4969">
        <w:rPr>
          <w:rFonts w:ascii="Arial" w:hAnsi="Arial" w:cs="Arial"/>
          <w:sz w:val="18"/>
          <w:szCs w:val="18"/>
        </w:rPr>
        <w:t>Operation</w:t>
      </w:r>
      <w:proofErr w:type="spellEnd"/>
      <w:r w:rsidR="005F4969" w:rsidRPr="005F4969">
        <w:rPr>
          <w:rFonts w:ascii="Arial" w:hAnsi="Arial" w:cs="Arial"/>
          <w:sz w:val="18"/>
          <w:szCs w:val="18"/>
        </w:rPr>
        <w:t xml:space="preserve"> &amp; Strategic Investment,</w:t>
      </w:r>
      <w:r w:rsidR="00F23F59">
        <w:rPr>
          <w:rFonts w:ascii="Arial" w:hAnsi="Arial" w:cs="Arial"/>
          <w:sz w:val="18"/>
          <w:szCs w:val="18"/>
        </w:rPr>
        <w:t xml:space="preserve"> Customer Support &amp; Services, </w:t>
      </w:r>
      <w:r w:rsidR="005F4969" w:rsidRPr="005F4969">
        <w:rPr>
          <w:rFonts w:ascii="Arial" w:hAnsi="Arial" w:cs="Arial"/>
          <w:sz w:val="18"/>
          <w:szCs w:val="18"/>
        </w:rPr>
        <w:t>Liebherr-Aerospace &amp; Transportation SAS, Andy Wheele</w:t>
      </w:r>
      <w:r w:rsidR="00F23F59">
        <w:rPr>
          <w:rFonts w:ascii="Arial" w:hAnsi="Arial" w:cs="Arial"/>
          <w:sz w:val="18"/>
          <w:szCs w:val="18"/>
        </w:rPr>
        <w:t xml:space="preserve">r, DVP and </w:t>
      </w:r>
      <w:proofErr w:type="spellStart"/>
      <w:r w:rsidR="00F23F59">
        <w:rPr>
          <w:rFonts w:ascii="Arial" w:hAnsi="Arial" w:cs="Arial"/>
          <w:sz w:val="18"/>
          <w:szCs w:val="18"/>
        </w:rPr>
        <w:t>Managing</w:t>
      </w:r>
      <w:proofErr w:type="spellEnd"/>
      <w:r w:rsidR="00F23F59">
        <w:rPr>
          <w:rFonts w:ascii="Arial" w:hAnsi="Arial" w:cs="Arial"/>
          <w:sz w:val="18"/>
          <w:szCs w:val="18"/>
        </w:rPr>
        <w:t xml:space="preserve"> Director d’</w:t>
      </w:r>
      <w:r w:rsidR="005F4969" w:rsidRPr="005F4969">
        <w:rPr>
          <w:rFonts w:ascii="Arial" w:hAnsi="Arial" w:cs="Arial"/>
          <w:sz w:val="18"/>
          <w:szCs w:val="18"/>
        </w:rPr>
        <w:t>AEM, Christian Fran</w:t>
      </w:r>
      <w:r w:rsidR="00F23F59">
        <w:rPr>
          <w:rFonts w:ascii="Arial" w:hAnsi="Arial" w:cs="Arial"/>
          <w:sz w:val="18"/>
          <w:szCs w:val="18"/>
        </w:rPr>
        <w:t xml:space="preserve">z, Director Customer Service, </w:t>
      </w:r>
      <w:r w:rsidR="005F4969" w:rsidRPr="005F4969">
        <w:rPr>
          <w:rFonts w:ascii="Arial" w:hAnsi="Arial" w:cs="Arial"/>
          <w:sz w:val="18"/>
          <w:szCs w:val="18"/>
        </w:rPr>
        <w:t xml:space="preserve">Liebherr-Aerospace Lindenberg GmbH </w:t>
      </w:r>
      <w:r w:rsidR="005F4969">
        <w:rPr>
          <w:rFonts w:ascii="Arial" w:hAnsi="Arial" w:cs="Arial"/>
          <w:sz w:val="18"/>
          <w:szCs w:val="18"/>
        </w:rPr>
        <w:t>et</w:t>
      </w:r>
      <w:r w:rsidR="005F4969" w:rsidRPr="005F4969">
        <w:rPr>
          <w:rFonts w:ascii="Arial" w:hAnsi="Arial" w:cs="Arial"/>
          <w:sz w:val="18"/>
          <w:szCs w:val="18"/>
        </w:rPr>
        <w:t xml:space="preserve"> Markus Fritsc</w:t>
      </w:r>
      <w:r w:rsidR="00F23F59">
        <w:rPr>
          <w:rFonts w:ascii="Arial" w:hAnsi="Arial" w:cs="Arial"/>
          <w:sz w:val="18"/>
          <w:szCs w:val="18"/>
        </w:rPr>
        <w:t xml:space="preserve">h, Team Leader MRO </w:t>
      </w:r>
      <w:proofErr w:type="spellStart"/>
      <w:r w:rsidR="00F23F59">
        <w:rPr>
          <w:rFonts w:ascii="Arial" w:hAnsi="Arial" w:cs="Arial"/>
          <w:sz w:val="18"/>
          <w:szCs w:val="18"/>
        </w:rPr>
        <w:t>Purchasing</w:t>
      </w:r>
      <w:proofErr w:type="spellEnd"/>
      <w:r w:rsidR="00F23F59">
        <w:rPr>
          <w:rFonts w:ascii="Arial" w:hAnsi="Arial" w:cs="Arial"/>
          <w:sz w:val="18"/>
          <w:szCs w:val="18"/>
        </w:rPr>
        <w:t>,</w:t>
      </w:r>
      <w:r w:rsidR="005F4969" w:rsidRPr="005F4969">
        <w:rPr>
          <w:rFonts w:ascii="Arial" w:hAnsi="Arial" w:cs="Arial"/>
          <w:sz w:val="18"/>
          <w:szCs w:val="18"/>
        </w:rPr>
        <w:t xml:space="preserve"> Liebherr-Aerospace Lindenberg GmbH</w:t>
      </w:r>
      <w:r w:rsidR="00ED5FB5">
        <w:rPr>
          <w:rFonts w:ascii="Arial" w:hAnsi="Arial" w:cs="Arial"/>
          <w:sz w:val="18"/>
          <w:szCs w:val="18"/>
        </w:rPr>
        <w:t xml:space="preserve"> – © Liebherr</w:t>
      </w:r>
    </w:p>
    <w:p w14:paraId="3CA62E17" w14:textId="77777777" w:rsidR="005F4969" w:rsidRPr="00407FDC" w:rsidRDefault="005F4969" w:rsidP="000514F2">
      <w:pPr>
        <w:rPr>
          <w:rFonts w:ascii="Arial" w:hAnsi="Arial" w:cs="Arial"/>
          <w:sz w:val="18"/>
          <w:szCs w:val="18"/>
        </w:rPr>
      </w:pPr>
    </w:p>
    <w:p w14:paraId="1C0404DC" w14:textId="76766E00" w:rsidR="009620F5" w:rsidRPr="00407FDC" w:rsidRDefault="009620F5" w:rsidP="009620F5">
      <w:pPr>
        <w:pStyle w:val="Copyhead11Pt"/>
      </w:pPr>
      <w:r w:rsidRPr="00407FDC">
        <w:t>Contact Liebherr-Aerospace</w:t>
      </w:r>
    </w:p>
    <w:p w14:paraId="390745FD" w14:textId="0F84B847" w:rsidR="00E71E43" w:rsidRPr="00407FDC" w:rsidRDefault="00E71E43" w:rsidP="00E71E43">
      <w:pPr>
        <w:spacing w:after="300" w:line="300" w:lineRule="exact"/>
        <w:rPr>
          <w:rFonts w:ascii="Arial" w:eastAsia="Times New Roman" w:hAnsi="Arial" w:cs="Times New Roman"/>
          <w:szCs w:val="18"/>
        </w:rPr>
      </w:pPr>
      <w:r w:rsidRPr="00407FDC">
        <w:rPr>
          <w:rFonts w:ascii="Arial" w:hAnsi="Arial"/>
        </w:rPr>
        <w:t>Ute Braam</w:t>
      </w:r>
      <w:bookmarkStart w:id="0" w:name="_GoBack"/>
      <w:bookmarkEnd w:id="0"/>
      <w:r w:rsidRPr="00407FDC">
        <w:rPr>
          <w:rFonts w:ascii="Arial" w:hAnsi="Arial"/>
        </w:rPr>
        <w:br/>
        <w:t>Communication d’entreprise</w:t>
      </w:r>
      <w:r w:rsidR="00407FDC">
        <w:rPr>
          <w:rFonts w:ascii="Arial" w:hAnsi="Arial"/>
        </w:rPr>
        <w:br/>
      </w:r>
      <w:r w:rsidRPr="00407FDC">
        <w:rPr>
          <w:rFonts w:ascii="Arial" w:hAnsi="Arial"/>
        </w:rPr>
        <w:t>Tél.</w:t>
      </w:r>
      <w:r w:rsidR="00407FDC" w:rsidRPr="00407FDC">
        <w:rPr>
          <w:rFonts w:ascii="Arial" w:hAnsi="Arial"/>
        </w:rPr>
        <w:t> </w:t>
      </w:r>
      <w:r w:rsidRPr="00407FDC">
        <w:rPr>
          <w:rFonts w:ascii="Arial" w:hAnsi="Arial"/>
        </w:rPr>
        <w:t>: +49 (0)8381 46 4403</w:t>
      </w:r>
      <w:r w:rsidRPr="00407FDC">
        <w:rPr>
          <w:rFonts w:ascii="Arial" w:hAnsi="Arial"/>
        </w:rPr>
        <w:br/>
        <w:t>Courriel</w:t>
      </w:r>
      <w:r w:rsidR="00407FDC" w:rsidRPr="00407FDC">
        <w:rPr>
          <w:rFonts w:ascii="Arial" w:hAnsi="Arial"/>
        </w:rPr>
        <w:t> </w:t>
      </w:r>
      <w:r w:rsidRPr="00407FDC">
        <w:rPr>
          <w:rFonts w:ascii="Arial" w:hAnsi="Arial"/>
        </w:rPr>
        <w:t xml:space="preserve">: ute.braam@liebherr.com </w:t>
      </w:r>
      <w:r w:rsidRPr="00407FDC">
        <w:rPr>
          <w:rFonts w:ascii="Arial" w:hAnsi="Arial"/>
        </w:rPr>
        <w:br/>
      </w:r>
    </w:p>
    <w:p w14:paraId="6714C8D5" w14:textId="77777777" w:rsidR="00E71E43" w:rsidRPr="00407FDC" w:rsidRDefault="00E71E43" w:rsidP="00E71E43">
      <w:pPr>
        <w:spacing w:after="300" w:line="300" w:lineRule="exact"/>
        <w:rPr>
          <w:rFonts w:ascii="Arial" w:eastAsia="Times New Roman" w:hAnsi="Arial" w:cs="Times New Roman"/>
          <w:b/>
          <w:szCs w:val="18"/>
        </w:rPr>
      </w:pPr>
      <w:r w:rsidRPr="00407FDC">
        <w:rPr>
          <w:rFonts w:ascii="Arial" w:hAnsi="Arial"/>
          <w:b/>
        </w:rPr>
        <w:t>Publié par</w:t>
      </w:r>
    </w:p>
    <w:p w14:paraId="23698FFD" w14:textId="69D3F4E4" w:rsidR="00B81ED6" w:rsidRPr="00407FDC" w:rsidRDefault="00E71E43" w:rsidP="00CF3C93">
      <w:pPr>
        <w:spacing w:after="300" w:line="300" w:lineRule="exact"/>
      </w:pPr>
      <w:r w:rsidRPr="00407FDC">
        <w:rPr>
          <w:rFonts w:ascii="Arial" w:hAnsi="Arial"/>
        </w:rPr>
        <w:t xml:space="preserve">Liebherr-Aerospace &amp; Transportation SAS </w:t>
      </w:r>
      <w:r w:rsidRPr="00407FDC">
        <w:rPr>
          <w:rFonts w:ascii="Arial" w:hAnsi="Arial"/>
        </w:rPr>
        <w:br/>
        <w:t>Toulouse / France</w:t>
      </w:r>
      <w:r w:rsidRPr="00407FDC">
        <w:rPr>
          <w:rFonts w:ascii="Arial" w:hAnsi="Arial"/>
        </w:rPr>
        <w:br/>
        <w:t>www.liebherr.com</w:t>
      </w:r>
    </w:p>
    <w:sectPr w:rsidR="00B81ED6" w:rsidRPr="00407FDC" w:rsidSect="009169F9">
      <w:headerReference w:type="default" r:id="rId10"/>
      <w:footerReference w:type="default" r:id="rId11"/>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675307" w14:textId="77777777" w:rsidR="00DE4E84" w:rsidRDefault="00DE4E84" w:rsidP="00B81ED6">
      <w:pPr>
        <w:spacing w:after="0" w:line="240" w:lineRule="auto"/>
      </w:pPr>
      <w:r>
        <w:separator/>
      </w:r>
    </w:p>
  </w:endnote>
  <w:endnote w:type="continuationSeparator" w:id="0">
    <w:p w14:paraId="2FACA122" w14:textId="77777777" w:rsidR="00DE4E84" w:rsidRDefault="00DE4E84"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141772" w14:textId="6468805A" w:rsidR="00965077" w:rsidRPr="00652E53" w:rsidRDefault="00AA16C8" w:rsidP="00652E53">
    <w:pPr>
      <w:pStyle w:val="zzPageNumberLine"/>
      <w:rPr>
        <w:rFonts w:ascii="Arial" w:hAnsi="Arial" w:cs="Arial"/>
      </w:rPr>
    </w:pPr>
    <w:r w:rsidRPr="0093605C">
      <w:rPr>
        <w:rFonts w:ascii="Arial" w:hAnsi="Arial" w:cs="Arial"/>
      </w:rPr>
      <w:fldChar w:fldCharType="begin"/>
    </w:r>
    <w:r w:rsidR="0093605C" w:rsidRPr="0093605C">
      <w:rPr>
        <w:rFonts w:ascii="Arial" w:hAnsi="Arial" w:cs="Arial"/>
      </w:rPr>
      <w:instrText xml:space="preserve"> IF </w:instrText>
    </w:r>
    <w:r w:rsidRPr="0093605C">
      <w:rPr>
        <w:rFonts w:ascii="Arial" w:hAnsi="Arial" w:cs="Arial"/>
      </w:rPr>
      <w:fldChar w:fldCharType="begin"/>
    </w:r>
    <w:r w:rsidR="0093605C" w:rsidRPr="0093605C">
      <w:rPr>
        <w:rFonts w:ascii="Arial" w:hAnsi="Arial" w:cs="Arial"/>
      </w:rPr>
      <w:instrText xml:space="preserve"> SECTIONPAGES  </w:instrText>
    </w:r>
    <w:r w:rsidRPr="0093605C">
      <w:rPr>
        <w:rFonts w:ascii="Arial" w:hAnsi="Arial" w:cs="Arial"/>
      </w:rPr>
      <w:fldChar w:fldCharType="separate"/>
    </w:r>
    <w:r w:rsidR="00330724">
      <w:rPr>
        <w:rFonts w:ascii="Arial" w:hAnsi="Arial" w:cs="Arial"/>
        <w:noProof/>
      </w:rPr>
      <w:instrText>3</w:instrText>
    </w:r>
    <w:r w:rsidRPr="0093605C">
      <w:rPr>
        <w:rFonts w:ascii="Arial" w:hAnsi="Arial" w:cs="Arial"/>
      </w:rPr>
      <w:fldChar w:fldCharType="end"/>
    </w:r>
    <w:r w:rsidR="0093605C" w:rsidRPr="0093605C">
      <w:rPr>
        <w:rFonts w:ascii="Arial" w:hAnsi="Arial" w:cs="Arial"/>
      </w:rPr>
      <w:instrText>&gt; 1 "</w:instrText>
    </w:r>
    <w:r w:rsidRPr="0093605C">
      <w:rPr>
        <w:rFonts w:ascii="Arial" w:hAnsi="Arial" w:cs="Arial"/>
      </w:rPr>
      <w:fldChar w:fldCharType="begin"/>
    </w:r>
    <w:r w:rsidR="0093605C" w:rsidRPr="0093605C">
      <w:rPr>
        <w:rFonts w:ascii="Arial" w:hAnsi="Arial" w:cs="Arial"/>
      </w:rPr>
      <w:instrText xml:space="preserve"> PAGE  </w:instrText>
    </w:r>
    <w:r w:rsidRPr="0093605C">
      <w:rPr>
        <w:rFonts w:ascii="Arial" w:hAnsi="Arial" w:cs="Arial"/>
      </w:rPr>
      <w:fldChar w:fldCharType="separate"/>
    </w:r>
    <w:r w:rsidR="00330724">
      <w:rPr>
        <w:rFonts w:ascii="Arial" w:hAnsi="Arial" w:cs="Arial"/>
        <w:noProof/>
      </w:rPr>
      <w:instrText>2</w:instrText>
    </w:r>
    <w:r w:rsidRPr="0093605C">
      <w:rPr>
        <w:rFonts w:ascii="Arial" w:hAnsi="Arial" w:cs="Arial"/>
      </w:rPr>
      <w:fldChar w:fldCharType="end"/>
    </w:r>
    <w:r w:rsidR="0093605C" w:rsidRPr="0093605C">
      <w:rPr>
        <w:rFonts w:ascii="Arial" w:hAnsi="Arial" w:cs="Arial"/>
      </w:rPr>
      <w:instrText>/</w:instrText>
    </w:r>
    <w:r w:rsidRPr="0093605C">
      <w:rPr>
        <w:rFonts w:ascii="Arial" w:hAnsi="Arial" w:cs="Arial"/>
      </w:rPr>
      <w:fldChar w:fldCharType="begin"/>
    </w:r>
    <w:r w:rsidR="0093605C" w:rsidRPr="0093605C">
      <w:rPr>
        <w:rFonts w:ascii="Arial" w:hAnsi="Arial" w:cs="Arial"/>
      </w:rPr>
      <w:instrText xml:space="preserve"> SECTIONPAGES  </w:instrText>
    </w:r>
    <w:r w:rsidRPr="0093605C">
      <w:rPr>
        <w:rFonts w:ascii="Arial" w:hAnsi="Arial" w:cs="Arial"/>
      </w:rPr>
      <w:fldChar w:fldCharType="separate"/>
    </w:r>
    <w:r w:rsidR="00330724">
      <w:rPr>
        <w:rFonts w:ascii="Arial" w:hAnsi="Arial" w:cs="Arial"/>
        <w:noProof/>
      </w:rPr>
      <w:instrText>3</w:instrText>
    </w:r>
    <w:r w:rsidRPr="0093605C">
      <w:rPr>
        <w:rFonts w:ascii="Arial" w:hAnsi="Arial" w:cs="Arial"/>
      </w:rPr>
      <w:fldChar w:fldCharType="end"/>
    </w:r>
    <w:r w:rsidR="0093605C" w:rsidRPr="0093605C">
      <w:rPr>
        <w:rFonts w:ascii="Arial" w:hAnsi="Arial" w:cs="Arial"/>
      </w:rPr>
      <w:instrText xml:space="preserve">" "" </w:instrText>
    </w:r>
    <w:r w:rsidR="00F23F59">
      <w:rPr>
        <w:rFonts w:ascii="Arial" w:hAnsi="Arial" w:cs="Arial"/>
      </w:rPr>
      <w:fldChar w:fldCharType="separate"/>
    </w:r>
    <w:r w:rsidR="00330724">
      <w:rPr>
        <w:rFonts w:ascii="Arial" w:hAnsi="Arial" w:cs="Arial"/>
        <w:noProof/>
      </w:rPr>
      <w:t>2</w:t>
    </w:r>
    <w:r w:rsidR="00330724" w:rsidRPr="0093605C">
      <w:rPr>
        <w:rFonts w:ascii="Arial" w:hAnsi="Arial" w:cs="Arial"/>
        <w:noProof/>
      </w:rPr>
      <w:t>/</w:t>
    </w:r>
    <w:r w:rsidR="00330724">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3C79A9" w14:textId="77777777" w:rsidR="00DE4E84" w:rsidRDefault="00DE4E84" w:rsidP="00B81ED6">
      <w:pPr>
        <w:spacing w:after="0" w:line="240" w:lineRule="auto"/>
      </w:pPr>
      <w:r>
        <w:separator/>
      </w:r>
    </w:p>
  </w:footnote>
  <w:footnote w:type="continuationSeparator" w:id="0">
    <w:p w14:paraId="6C8E0EA0" w14:textId="77777777" w:rsidR="00DE4E84" w:rsidRDefault="00DE4E84"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532D77" w14:textId="3BB8801C" w:rsidR="000C6D6D" w:rsidRDefault="000C6D6D" w:rsidP="000C6D6D">
    <w:pPr>
      <w:pStyle w:val="Kopfzeile"/>
      <w:jc w:val="right"/>
    </w:pPr>
    <w:r>
      <w:rPr>
        <w:noProof/>
        <w:lang w:val="de-DE" w:eastAsia="de-DE"/>
      </w:rPr>
      <w:drawing>
        <wp:inline distT="0" distB="0" distL="0" distR="0" wp14:anchorId="2B3C931B" wp14:editId="4DE44036">
          <wp:extent cx="2164080" cy="267970"/>
          <wp:effectExtent l="0" t="0" r="762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4080" cy="26797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E92370F"/>
    <w:multiLevelType w:val="hybridMultilevel"/>
    <w:tmpl w:val="FAAC456C"/>
    <w:lvl w:ilvl="0" w:tplc="DCFE75C2">
      <w:numFmt w:val="bullet"/>
      <w:lvlText w:val="-"/>
      <w:lvlJc w:val="left"/>
      <w:pPr>
        <w:ind w:left="720" w:hanging="360"/>
      </w:pPr>
      <w:rPr>
        <w:rFonts w:ascii="Arial" w:eastAsia="Calibr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ClickedMarker" w:val="-"/>
  </w:docVars>
  <w:rsids>
    <w:rsidRoot w:val="00B81ED6"/>
    <w:rsid w:val="00004007"/>
    <w:rsid w:val="00006199"/>
    <w:rsid w:val="00013D75"/>
    <w:rsid w:val="000144F2"/>
    <w:rsid w:val="00033002"/>
    <w:rsid w:val="00043F7E"/>
    <w:rsid w:val="000514F2"/>
    <w:rsid w:val="0006449F"/>
    <w:rsid w:val="00066E54"/>
    <w:rsid w:val="00073172"/>
    <w:rsid w:val="00080E68"/>
    <w:rsid w:val="00086BB3"/>
    <w:rsid w:val="000A7F5C"/>
    <w:rsid w:val="000C0B6C"/>
    <w:rsid w:val="000C25D5"/>
    <w:rsid w:val="000C6D6D"/>
    <w:rsid w:val="000D29F1"/>
    <w:rsid w:val="000E1268"/>
    <w:rsid w:val="000E4D0E"/>
    <w:rsid w:val="001132B6"/>
    <w:rsid w:val="00131807"/>
    <w:rsid w:val="0013412C"/>
    <w:rsid w:val="001419B4"/>
    <w:rsid w:val="00145DB7"/>
    <w:rsid w:val="00186082"/>
    <w:rsid w:val="00191D9C"/>
    <w:rsid w:val="001D310D"/>
    <w:rsid w:val="00205C92"/>
    <w:rsid w:val="00222602"/>
    <w:rsid w:val="002569B6"/>
    <w:rsid w:val="00286C2D"/>
    <w:rsid w:val="002D1A7C"/>
    <w:rsid w:val="002F0611"/>
    <w:rsid w:val="002F7FA1"/>
    <w:rsid w:val="00316CA8"/>
    <w:rsid w:val="00330724"/>
    <w:rsid w:val="00333D78"/>
    <w:rsid w:val="003341A7"/>
    <w:rsid w:val="0034133F"/>
    <w:rsid w:val="00343234"/>
    <w:rsid w:val="003524D2"/>
    <w:rsid w:val="00362FCF"/>
    <w:rsid w:val="00365A53"/>
    <w:rsid w:val="003808BD"/>
    <w:rsid w:val="003B46CF"/>
    <w:rsid w:val="003C4B2C"/>
    <w:rsid w:val="003D2F3D"/>
    <w:rsid w:val="003D6079"/>
    <w:rsid w:val="00407FDC"/>
    <w:rsid w:val="00415B65"/>
    <w:rsid w:val="00415C94"/>
    <w:rsid w:val="00421890"/>
    <w:rsid w:val="00422D58"/>
    <w:rsid w:val="00423820"/>
    <w:rsid w:val="004822AE"/>
    <w:rsid w:val="004C3AAA"/>
    <w:rsid w:val="004F3551"/>
    <w:rsid w:val="00501A97"/>
    <w:rsid w:val="00520A02"/>
    <w:rsid w:val="00552E52"/>
    <w:rsid w:val="00556698"/>
    <w:rsid w:val="005656CC"/>
    <w:rsid w:val="005805E5"/>
    <w:rsid w:val="005853AD"/>
    <w:rsid w:val="00586589"/>
    <w:rsid w:val="00594394"/>
    <w:rsid w:val="005967CC"/>
    <w:rsid w:val="005C4A31"/>
    <w:rsid w:val="005D3919"/>
    <w:rsid w:val="005E0AA9"/>
    <w:rsid w:val="005E6847"/>
    <w:rsid w:val="005E716B"/>
    <w:rsid w:val="005F4969"/>
    <w:rsid w:val="00613A3F"/>
    <w:rsid w:val="00626E8F"/>
    <w:rsid w:val="0062701B"/>
    <w:rsid w:val="00652324"/>
    <w:rsid w:val="00652E53"/>
    <w:rsid w:val="00681081"/>
    <w:rsid w:val="0068658A"/>
    <w:rsid w:val="006B371A"/>
    <w:rsid w:val="006D00D8"/>
    <w:rsid w:val="006E0F6D"/>
    <w:rsid w:val="006F0AC6"/>
    <w:rsid w:val="00702693"/>
    <w:rsid w:val="00730878"/>
    <w:rsid w:val="007801D1"/>
    <w:rsid w:val="00792A62"/>
    <w:rsid w:val="007933F0"/>
    <w:rsid w:val="00794A2D"/>
    <w:rsid w:val="007B1447"/>
    <w:rsid w:val="007B316F"/>
    <w:rsid w:val="007C1C52"/>
    <w:rsid w:val="007D1285"/>
    <w:rsid w:val="007D4DDE"/>
    <w:rsid w:val="007E3BED"/>
    <w:rsid w:val="007F2586"/>
    <w:rsid w:val="00802E8F"/>
    <w:rsid w:val="00803E19"/>
    <w:rsid w:val="008126A4"/>
    <w:rsid w:val="0081290F"/>
    <w:rsid w:val="00827325"/>
    <w:rsid w:val="008403BF"/>
    <w:rsid w:val="0084388D"/>
    <w:rsid w:val="008555AC"/>
    <w:rsid w:val="008638BF"/>
    <w:rsid w:val="008A59F7"/>
    <w:rsid w:val="008B0FB5"/>
    <w:rsid w:val="008B7EF4"/>
    <w:rsid w:val="008F1353"/>
    <w:rsid w:val="00901322"/>
    <w:rsid w:val="009169F9"/>
    <w:rsid w:val="0093605C"/>
    <w:rsid w:val="00945369"/>
    <w:rsid w:val="009620F5"/>
    <w:rsid w:val="00965077"/>
    <w:rsid w:val="00987D50"/>
    <w:rsid w:val="009A0361"/>
    <w:rsid w:val="009A0E8F"/>
    <w:rsid w:val="009A3D17"/>
    <w:rsid w:val="009A3D88"/>
    <w:rsid w:val="009C09F1"/>
    <w:rsid w:val="009E2E08"/>
    <w:rsid w:val="009F2BA9"/>
    <w:rsid w:val="009F2F2E"/>
    <w:rsid w:val="00A02BA2"/>
    <w:rsid w:val="00A12CA0"/>
    <w:rsid w:val="00A22CCF"/>
    <w:rsid w:val="00A26BBC"/>
    <w:rsid w:val="00A30618"/>
    <w:rsid w:val="00A31B1A"/>
    <w:rsid w:val="00A41097"/>
    <w:rsid w:val="00A53BE6"/>
    <w:rsid w:val="00A57373"/>
    <w:rsid w:val="00A65F04"/>
    <w:rsid w:val="00A868A7"/>
    <w:rsid w:val="00AA16C8"/>
    <w:rsid w:val="00AA6DC8"/>
    <w:rsid w:val="00AB517E"/>
    <w:rsid w:val="00AC2129"/>
    <w:rsid w:val="00AC6023"/>
    <w:rsid w:val="00AF1F99"/>
    <w:rsid w:val="00AF3A88"/>
    <w:rsid w:val="00AF7AB3"/>
    <w:rsid w:val="00B03867"/>
    <w:rsid w:val="00B10D41"/>
    <w:rsid w:val="00B3081B"/>
    <w:rsid w:val="00B36461"/>
    <w:rsid w:val="00B726B0"/>
    <w:rsid w:val="00B81ED6"/>
    <w:rsid w:val="00B82785"/>
    <w:rsid w:val="00B8420F"/>
    <w:rsid w:val="00B85293"/>
    <w:rsid w:val="00B95344"/>
    <w:rsid w:val="00BC2C86"/>
    <w:rsid w:val="00BC3E45"/>
    <w:rsid w:val="00BD7045"/>
    <w:rsid w:val="00C2556A"/>
    <w:rsid w:val="00C353EB"/>
    <w:rsid w:val="00C36C4B"/>
    <w:rsid w:val="00C66C81"/>
    <w:rsid w:val="00C81F12"/>
    <w:rsid w:val="00C903B7"/>
    <w:rsid w:val="00CD2F75"/>
    <w:rsid w:val="00CF3C93"/>
    <w:rsid w:val="00CF4781"/>
    <w:rsid w:val="00D01CC9"/>
    <w:rsid w:val="00D3497D"/>
    <w:rsid w:val="00D34AAC"/>
    <w:rsid w:val="00D63A6A"/>
    <w:rsid w:val="00D63E2A"/>
    <w:rsid w:val="00D7515E"/>
    <w:rsid w:val="00D7648B"/>
    <w:rsid w:val="00D80EDD"/>
    <w:rsid w:val="00DB37BE"/>
    <w:rsid w:val="00DB7620"/>
    <w:rsid w:val="00DC2D1D"/>
    <w:rsid w:val="00DC3073"/>
    <w:rsid w:val="00DC3B16"/>
    <w:rsid w:val="00DC782D"/>
    <w:rsid w:val="00DE4E84"/>
    <w:rsid w:val="00E05C6E"/>
    <w:rsid w:val="00E22EEB"/>
    <w:rsid w:val="00E341BB"/>
    <w:rsid w:val="00E71E43"/>
    <w:rsid w:val="00E7472C"/>
    <w:rsid w:val="00E9653B"/>
    <w:rsid w:val="00EA26F3"/>
    <w:rsid w:val="00ED5FB5"/>
    <w:rsid w:val="00ED7F32"/>
    <w:rsid w:val="00EE0567"/>
    <w:rsid w:val="00EF582A"/>
    <w:rsid w:val="00F06CD1"/>
    <w:rsid w:val="00F12C72"/>
    <w:rsid w:val="00F137C3"/>
    <w:rsid w:val="00F23F59"/>
    <w:rsid w:val="00F739D3"/>
    <w:rsid w:val="00F77231"/>
    <w:rsid w:val="00FE155D"/>
    <w:rsid w:val="00FE363F"/>
  </w:rsids>
  <m:mathPr>
    <m:mathFont m:val="Cambria Math"/>
    <m:brkBin m:val="before"/>
    <m:brkBinSub m:val="--"/>
    <m:smallFrac/>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08DA6930"/>
  <w15:docId w15:val="{64945226-7D00-456A-BF36-6C2462C392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sid w:val="00AA16C8"/>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tandardWeb">
    <w:name w:val="Normal (Web)"/>
    <w:basedOn w:val="Standard"/>
    <w:uiPriority w:val="99"/>
    <w:unhideWhenUsed/>
    <w:rsid w:val="00E7472C"/>
    <w:rPr>
      <w:rFonts w:ascii="Times New Roman" w:hAnsi="Times New Roman" w:cs="Times New Roman"/>
      <w:sz w:val="24"/>
      <w:szCs w:val="24"/>
    </w:rPr>
  </w:style>
  <w:style w:type="paragraph" w:styleId="Listenabsatz">
    <w:name w:val="List Paragraph"/>
    <w:basedOn w:val="Standard"/>
    <w:uiPriority w:val="34"/>
    <w:rsid w:val="00E7472C"/>
    <w:pPr>
      <w:ind w:left="720"/>
      <w:contextualSpacing/>
    </w:pPr>
  </w:style>
  <w:style w:type="character" w:styleId="Kommentarzeichen">
    <w:name w:val="annotation reference"/>
    <w:basedOn w:val="Absatz-Standardschriftart"/>
    <w:uiPriority w:val="99"/>
    <w:semiHidden/>
    <w:unhideWhenUsed/>
    <w:rsid w:val="00626E8F"/>
    <w:rPr>
      <w:sz w:val="16"/>
      <w:szCs w:val="16"/>
    </w:rPr>
  </w:style>
  <w:style w:type="paragraph" w:styleId="Kommentartext">
    <w:name w:val="annotation text"/>
    <w:basedOn w:val="Standard"/>
    <w:link w:val="KommentartextZchn"/>
    <w:uiPriority w:val="99"/>
    <w:semiHidden/>
    <w:unhideWhenUsed/>
    <w:rsid w:val="00626E8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626E8F"/>
    <w:rPr>
      <w:sz w:val="20"/>
      <w:szCs w:val="20"/>
    </w:rPr>
  </w:style>
  <w:style w:type="paragraph" w:styleId="Kommentarthema">
    <w:name w:val="annotation subject"/>
    <w:basedOn w:val="Kommentartext"/>
    <w:next w:val="Kommentartext"/>
    <w:link w:val="KommentarthemaZchn"/>
    <w:uiPriority w:val="99"/>
    <w:semiHidden/>
    <w:unhideWhenUsed/>
    <w:rsid w:val="00626E8F"/>
    <w:rPr>
      <w:b/>
      <w:bCs/>
    </w:rPr>
  </w:style>
  <w:style w:type="character" w:customStyle="1" w:styleId="KommentarthemaZchn">
    <w:name w:val="Kommentarthema Zchn"/>
    <w:basedOn w:val="KommentartextZchn"/>
    <w:link w:val="Kommentarthema"/>
    <w:uiPriority w:val="99"/>
    <w:semiHidden/>
    <w:rsid w:val="00626E8F"/>
    <w:rPr>
      <w:b/>
      <w:bCs/>
      <w:sz w:val="20"/>
      <w:szCs w:val="20"/>
    </w:rPr>
  </w:style>
  <w:style w:type="paragraph" w:styleId="Sprechblasentext">
    <w:name w:val="Balloon Text"/>
    <w:basedOn w:val="Standard"/>
    <w:link w:val="SprechblasentextZchn"/>
    <w:uiPriority w:val="99"/>
    <w:semiHidden/>
    <w:unhideWhenUsed/>
    <w:rsid w:val="00626E8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626E8F"/>
    <w:rPr>
      <w:rFonts w:ascii="Segoe UI" w:hAnsi="Segoe UI" w:cs="Segoe UI"/>
      <w:sz w:val="18"/>
      <w:szCs w:val="18"/>
    </w:rPr>
  </w:style>
  <w:style w:type="character" w:customStyle="1" w:styleId="Mentionnonrsolue1">
    <w:name w:val="Mention non résolue1"/>
    <w:basedOn w:val="Absatz-Standardschriftart"/>
    <w:uiPriority w:val="99"/>
    <w:semiHidden/>
    <w:unhideWhenUsed/>
    <w:rsid w:val="00D01CC9"/>
    <w:rPr>
      <w:color w:val="605E5C"/>
      <w:shd w:val="clear" w:color="auto" w:fill="E1DFDD"/>
    </w:rPr>
  </w:style>
  <w:style w:type="character" w:styleId="BesuchterLink">
    <w:name w:val="FollowedHyperlink"/>
    <w:basedOn w:val="Absatz-Standardschriftart"/>
    <w:uiPriority w:val="99"/>
    <w:semiHidden/>
    <w:unhideWhenUsed/>
    <w:rsid w:val="00D01CC9"/>
    <w:rPr>
      <w:color w:val="954F72" w:themeColor="followedHyperlink"/>
      <w:u w:val="single"/>
    </w:rPr>
  </w:style>
  <w:style w:type="paragraph" w:styleId="berarbeitung">
    <w:name w:val="Revision"/>
    <w:hidden/>
    <w:uiPriority w:val="99"/>
    <w:semiHidden/>
    <w:rsid w:val="004F355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2635540">
      <w:bodyDiv w:val="1"/>
      <w:marLeft w:val="0"/>
      <w:marRight w:val="0"/>
      <w:marTop w:val="0"/>
      <w:marBottom w:val="0"/>
      <w:divBdr>
        <w:top w:val="none" w:sz="0" w:space="0" w:color="auto"/>
        <w:left w:val="none" w:sz="0" w:space="0" w:color="auto"/>
        <w:bottom w:val="none" w:sz="0" w:space="0" w:color="auto"/>
        <w:right w:val="none" w:sz="0" w:space="0" w:color="auto"/>
      </w:divBdr>
    </w:div>
    <w:div w:id="1154569379">
      <w:bodyDiv w:val="1"/>
      <w:marLeft w:val="0"/>
      <w:marRight w:val="0"/>
      <w:marTop w:val="0"/>
      <w:marBottom w:val="0"/>
      <w:divBdr>
        <w:top w:val="none" w:sz="0" w:space="0" w:color="auto"/>
        <w:left w:val="none" w:sz="0" w:space="0" w:color="auto"/>
        <w:bottom w:val="none" w:sz="0" w:space="0" w:color="auto"/>
        <w:right w:val="none" w:sz="0" w:space="0" w:color="auto"/>
      </w:divBdr>
    </w:div>
    <w:div w:id="2054843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8FFACF0FF6B74D0AB72C7E22A553B99B"/>
        <w:category>
          <w:name w:val="Allgemein"/>
          <w:gallery w:val="placeholder"/>
        </w:category>
        <w:types>
          <w:type w:val="bbPlcHdr"/>
        </w:types>
        <w:behaviors>
          <w:behavior w:val="content"/>
        </w:behaviors>
        <w:guid w:val="{830995CB-CCCE-42D6-BE42-FA7FC8D7229F}"/>
      </w:docPartPr>
      <w:docPartBody>
        <w:p w:rsidR="00372F43" w:rsidRDefault="009F1174" w:rsidP="009F1174">
          <w:pPr>
            <w:pStyle w:val="8FFACF0FF6B74D0AB72C7E22A553B99B"/>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2"/>
  </w:compat>
  <w:rsids>
    <w:rsidRoot w:val="00C67096"/>
    <w:rsid w:val="000E7285"/>
    <w:rsid w:val="001B2975"/>
    <w:rsid w:val="00281395"/>
    <w:rsid w:val="00292C1D"/>
    <w:rsid w:val="0036565E"/>
    <w:rsid w:val="00372F43"/>
    <w:rsid w:val="00374378"/>
    <w:rsid w:val="003B6B35"/>
    <w:rsid w:val="003F14B9"/>
    <w:rsid w:val="00557DFF"/>
    <w:rsid w:val="00595935"/>
    <w:rsid w:val="00614BC2"/>
    <w:rsid w:val="00745223"/>
    <w:rsid w:val="00752FAB"/>
    <w:rsid w:val="00760D92"/>
    <w:rsid w:val="00765192"/>
    <w:rsid w:val="007D4679"/>
    <w:rsid w:val="00807A8A"/>
    <w:rsid w:val="008C2187"/>
    <w:rsid w:val="00993134"/>
    <w:rsid w:val="009F1174"/>
    <w:rsid w:val="00A8204C"/>
    <w:rsid w:val="00AE1993"/>
    <w:rsid w:val="00BD0BEC"/>
    <w:rsid w:val="00C67096"/>
    <w:rsid w:val="00D31EDA"/>
    <w:rsid w:val="00E8505A"/>
    <w:rsid w:val="00E9335E"/>
    <w:rsid w:val="00EA2CC2"/>
    <w:rsid w:val="00F477EC"/>
    <w:rsid w:val="00F87BDC"/>
  </w:rsids>
  <m:mathPr>
    <m:mathFont m:val="Cambria Math"/>
    <m:brkBin m:val="before"/>
    <m:brkBinSub m:val="--"/>
    <m:smallFrac/>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745223"/>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760D92"/>
    <w:rPr>
      <w:color w:val="808080"/>
    </w:rPr>
  </w:style>
  <w:style w:type="paragraph" w:customStyle="1" w:styleId="832D8E68428B422EA668CB81D7B29564">
    <w:name w:val="832D8E68428B422EA668CB81D7B29564"/>
    <w:rsid w:val="00C67096"/>
  </w:style>
  <w:style w:type="paragraph" w:customStyle="1" w:styleId="8FFACF0FF6B74D0AB72C7E22A553B99B">
    <w:name w:val="8FFACF0FF6B74D0AB72C7E22A553B99B"/>
    <w:rsid w:val="009F1174"/>
  </w:style>
  <w:style w:type="paragraph" w:customStyle="1" w:styleId="4DD73E4CB27C4F34A3AEF5F64A2366AC">
    <w:name w:val="4DD73E4CB27C4F34A3AEF5F64A2366AC"/>
    <w:rsid w:val="00760D92"/>
    <w:rPr>
      <w:lang w:val="fr-FR" w:eastAsia="fr-FR"/>
    </w:rPr>
  </w:style>
  <w:style w:type="paragraph" w:customStyle="1" w:styleId="B35C046D244F45E997883C56B167F383">
    <w:name w:val="B35C046D244F45E997883C56B167F383"/>
    <w:rsid w:val="00760D92"/>
    <w:rPr>
      <w:lang w:val="fr-FR" w:eastAsia="fr-FR"/>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D4DDE2-7752-41DC-A2CC-316D6AFB01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835</Words>
  <Characters>5266</Characters>
  <Application>Microsoft Office Word</Application>
  <DocSecurity>0</DocSecurity>
  <Lines>43</Lines>
  <Paragraphs>12</Paragraphs>
  <ScaleCrop>false</ScaleCrop>
  <HeadingPairs>
    <vt:vector size="8" baseType="variant">
      <vt:variant>
        <vt:lpstr>Titel</vt:lpstr>
      </vt:variant>
      <vt:variant>
        <vt:i4>1</vt:i4>
      </vt:variant>
      <vt:variant>
        <vt:lpstr>Titre</vt:lpstr>
      </vt:variant>
      <vt:variant>
        <vt:i4>1</vt:i4>
      </vt:variant>
      <vt:variant>
        <vt:lpstr>Title</vt:lpstr>
      </vt:variant>
      <vt:variant>
        <vt:i4>1</vt:i4>
      </vt:variant>
      <vt:variant>
        <vt:lpstr>Título</vt:lpstr>
      </vt:variant>
      <vt:variant>
        <vt:i4>1</vt:i4>
      </vt:variant>
    </vt:vector>
  </HeadingPairs>
  <TitlesOfParts>
    <vt:vector size="4" baseType="lpstr">
      <vt:lpstr>Liebherr et AMETEK MRO AEM coopèrent pour la révision des trains d’atterrissage E-Jet E1</vt:lpstr>
      <vt:lpstr>Liebherr et AMETEK MRO AEM coopèrent pour la révision des trains d’atterrissage E-Jet E1</vt:lpstr>
      <vt:lpstr>Liebherr and AMETEK MRO AEM cooperate on E-Jet E1 landing gear overhaul</vt:lpstr>
      <vt:lpstr>Liebherr supplies Electro Mechanical Rudder for 
Phenom 300 – a milestone in commercial aviation</vt:lpstr>
    </vt:vector>
  </TitlesOfParts>
  <Company>Liebherr</Company>
  <LinksUpToDate>false</LinksUpToDate>
  <CharactersWithSpaces>6089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Liebherr et AMETEK MRO AEM coopèrent pour la révision des trains d’atterrissage E-Jet E1</dc:title>
  <dc:creator>Goetz Manuel (LHO)</dc:creator>
  <cp:lastModifiedBy>Braam Ute (AER)</cp:lastModifiedBy>
  <cp:revision>7</cp:revision>
  <cp:lastPrinted>2022-09-30T14:47:00Z</cp:lastPrinted>
  <dcterms:created xsi:type="dcterms:W3CDTF">2022-10-11T14:27:00Z</dcterms:created>
  <dcterms:modified xsi:type="dcterms:W3CDTF">2022-10-20T13:53:00Z</dcterms:modified>
  <cp:category>Communiqué de presse</cp:category>
</cp:coreProperties>
</file>