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A9A165" w14:textId="77777777" w:rsidR="00F62892" w:rsidRPr="006228BF" w:rsidRDefault="00E847CC" w:rsidP="00E847CC">
      <w:pPr>
        <w:pStyle w:val="Topline16Pt"/>
      </w:pPr>
      <w:r>
        <w:t>Communiqué de presse</w:t>
      </w:r>
    </w:p>
    <w:p w14:paraId="00A18479" w14:textId="5CF7E1D7" w:rsidR="00E847CC" w:rsidRPr="00AD55ED" w:rsidRDefault="00083529" w:rsidP="00E847CC">
      <w:pPr>
        <w:pStyle w:val="HeadlineH233Pt"/>
        <w:spacing w:line="240" w:lineRule="auto"/>
        <w:rPr>
          <w:rFonts w:cs="Arial"/>
          <w:sz w:val="62"/>
          <w:szCs w:val="62"/>
        </w:rPr>
      </w:pPr>
      <w:r>
        <w:rPr>
          <w:sz w:val="62"/>
          <w:szCs w:val="62"/>
        </w:rPr>
        <w:t xml:space="preserve">La première grue sur chenilles Liebherr </w:t>
      </w:r>
      <w:r w:rsidR="009C5D4A">
        <w:rPr>
          <w:sz w:val="62"/>
          <w:szCs w:val="62"/>
        </w:rPr>
        <w:t>LR 12500-1.0</w:t>
      </w:r>
      <w:r>
        <w:rPr>
          <w:sz w:val="62"/>
          <w:szCs w:val="62"/>
        </w:rPr>
        <w:t xml:space="preserve"> est pour </w:t>
      </w:r>
      <w:proofErr w:type="spellStart"/>
      <w:r>
        <w:rPr>
          <w:sz w:val="62"/>
          <w:szCs w:val="62"/>
        </w:rPr>
        <w:t>Sarens</w:t>
      </w:r>
      <w:proofErr w:type="spellEnd"/>
    </w:p>
    <w:p w14:paraId="4F63D53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3F6C4B1" w14:textId="77777777" w:rsidR="00827B5A" w:rsidRDefault="004A1B8E" w:rsidP="00827B5A">
      <w:pPr>
        <w:pStyle w:val="Bulletpoints11Pt"/>
      </w:pPr>
      <w:r>
        <w:t xml:space="preserve">L’entreprise </w:t>
      </w:r>
      <w:proofErr w:type="spellStart"/>
      <w:r>
        <w:t>Sarens</w:t>
      </w:r>
      <w:proofErr w:type="spellEnd"/>
      <w:r>
        <w:t xml:space="preserve"> a été séduite par le concept et les performances de la nouvelle grue sur chenilles</w:t>
      </w:r>
    </w:p>
    <w:p w14:paraId="6CE4A452" w14:textId="77777777" w:rsidR="0088513F" w:rsidRDefault="004A1B8E" w:rsidP="00827B5A">
      <w:pPr>
        <w:pStyle w:val="Bulletpoints11Pt"/>
      </w:pPr>
      <w:r>
        <w:t>Des utilisations dans le domaine des énergies renouvelables en point de mire</w:t>
      </w:r>
    </w:p>
    <w:p w14:paraId="1A80DED1" w14:textId="0CFD871F" w:rsidR="00E66D50" w:rsidRDefault="00A2534D" w:rsidP="00827B5A">
      <w:pPr>
        <w:pStyle w:val="Bulletpoints11Pt"/>
      </w:pPr>
      <w:r>
        <w:t xml:space="preserve">La puissance de la </w:t>
      </w:r>
      <w:r w:rsidR="009C5D4A">
        <w:t>LR 12500-1.0</w:t>
      </w:r>
      <w:r>
        <w:t xml:space="preserve"> lui permet de répondre à des exigences toujours croissantes</w:t>
      </w:r>
    </w:p>
    <w:p w14:paraId="1C75ABD8" w14:textId="646FB666" w:rsidR="000E378E" w:rsidRPr="00872A28" w:rsidRDefault="000E378E" w:rsidP="00872A28">
      <w:pPr>
        <w:pStyle w:val="Teaser11Pt"/>
      </w:pPr>
      <w:r w:rsidRPr="00872A28">
        <w:t xml:space="preserve">L’entreprise de grues et de manutention de charges lourdes Sarens a commandé le premier exemplaire de la nouvelle grue sur chenilles Liebherr </w:t>
      </w:r>
      <w:r w:rsidR="009C5D4A" w:rsidRPr="00872A28">
        <w:t>LR 12500-1.0</w:t>
      </w:r>
      <w:r w:rsidRPr="00872A28">
        <w:t xml:space="preserve">. Séduite par le concept et les performances de cette nouvelle grue sur chenilles de 2 500 tonnes, l’entreprise belge internationale l’utilisera principalement dans le domaine des énergies renouvelables, par exemple pour la manutention d’éoliennes offshore. La nouvelle </w:t>
      </w:r>
      <w:r w:rsidR="009C5D4A" w:rsidRPr="00872A28">
        <w:t>LR 12500-1.0</w:t>
      </w:r>
      <w:r w:rsidRPr="00872A28">
        <w:t xml:space="preserve"> dispose d’une puissance suffisante pour répondre aux exigences croissantes de ce domaine.</w:t>
      </w:r>
    </w:p>
    <w:p w14:paraId="694E4792" w14:textId="06C44AD6" w:rsidR="00FF7A71" w:rsidRDefault="0088513F" w:rsidP="009C5D4A">
      <w:pPr>
        <w:pStyle w:val="Copytext11Pt"/>
        <w:rPr>
          <w:rFonts w:cs="Arial"/>
        </w:rPr>
      </w:pPr>
      <w:proofErr w:type="spellStart"/>
      <w:r>
        <w:t>E</w:t>
      </w:r>
      <w:r w:rsidR="00886015">
        <w:t>hingen</w:t>
      </w:r>
      <w:proofErr w:type="spellEnd"/>
      <w:r w:rsidR="00886015">
        <w:t xml:space="preserve"> (Danube, Allemagne), le 7</w:t>
      </w:r>
      <w:bookmarkStart w:id="0" w:name="_GoBack"/>
      <w:bookmarkEnd w:id="0"/>
      <w:r>
        <w:t xml:space="preserve"> avril 2022 – Lors de ses recherches concernant un </w:t>
      </w:r>
      <w:r w:rsidR="00005B52">
        <w:t xml:space="preserve">nouveau </w:t>
      </w:r>
      <w:r>
        <w:t>concept de grue sur chenilles</w:t>
      </w:r>
      <w:r w:rsidR="00005B52">
        <w:t>,</w:t>
      </w:r>
      <w:r>
        <w:t xml:space="preserve"> situé entre la LR 11350 affichant une capacité de charge de 1 350 tonnes et la LR 13000 de 3 000 tonnes, Liebherr a beaucoup échangé avec ses clients du secteur de la manipulation des charges lourdes. Le résultat est la nouvelle </w:t>
      </w:r>
      <w:r w:rsidR="009C5D4A">
        <w:t>LR 12500-1.0</w:t>
      </w:r>
      <w:r>
        <w:t xml:space="preserve"> avec sa capacité de charge maximale de 2 500 tonnes. Liebherr et ses clients voient dans cette catégorie un grand potentiel et un marché en pleine expansion pour les grandes grues sur chenilles. </w:t>
      </w:r>
    </w:p>
    <w:p w14:paraId="7B1C9E87" w14:textId="047BBF63" w:rsidR="00D7179E" w:rsidRDefault="00FF7A71" w:rsidP="009C5D4A">
      <w:pPr>
        <w:pStyle w:val="Copytext11Pt"/>
        <w:rPr>
          <w:rFonts w:cs="Arial"/>
        </w:rPr>
      </w:pPr>
      <w:r>
        <w:t xml:space="preserve">Avec sa nouvelle </w:t>
      </w:r>
      <w:r w:rsidR="009C5D4A">
        <w:t>LR 12500-1.0</w:t>
      </w:r>
      <w:r>
        <w:t>, Liebherr répond aux exigences croissantes du marché en ce qui concerne les grandes grues sur chenilles dans les domaines de la pétrochimie et de la manutention portuaire. La manutention portuaire d’énormes composants d’éoliennes offshore est précisément devenue un domaine d’utilisation important pour les grandes grues sur chenilles. Avec ses capacités de charge, la nouvelle grue sur chenilles de 2 500 tonnes est également conçue pour de</w:t>
      </w:r>
      <w:r w:rsidR="00005B52">
        <w:t>s</w:t>
      </w:r>
      <w:r>
        <w:t xml:space="preserve"> </w:t>
      </w:r>
      <w:r w:rsidR="00005B52">
        <w:t>charges croissantes</w:t>
      </w:r>
      <w:r>
        <w:t xml:space="preserve">. L’intérêt suscité par la nouvelle </w:t>
      </w:r>
      <w:r w:rsidR="009C5D4A">
        <w:t>LR 12500-1.0</w:t>
      </w:r>
      <w:r>
        <w:t xml:space="preserve"> est donc grand.</w:t>
      </w:r>
    </w:p>
    <w:p w14:paraId="13FA8FDD" w14:textId="6F132087" w:rsidR="00387848" w:rsidRDefault="00D7179E" w:rsidP="009C5D4A">
      <w:pPr>
        <w:pStyle w:val="Copytext11Pt"/>
        <w:rPr>
          <w:rFonts w:cs="Arial"/>
        </w:rPr>
      </w:pPr>
      <w:proofErr w:type="spellStart"/>
      <w:r>
        <w:t>Sarens</w:t>
      </w:r>
      <w:proofErr w:type="spellEnd"/>
      <w:r>
        <w:t xml:space="preserve"> a rapidement été convaincu par le concept et les performances de ce nouvel engin de 2 500 tonnes et a ainsi commandé la première machine. Le directeur, Carl </w:t>
      </w:r>
      <w:proofErr w:type="spellStart"/>
      <w:r>
        <w:t>Sarens</w:t>
      </w:r>
      <w:proofErr w:type="spellEnd"/>
      <w:r>
        <w:t xml:space="preserve">, déclare : « Pour nous, c’est surtout la grande capacité de charge de la </w:t>
      </w:r>
      <w:r w:rsidR="009C5D4A">
        <w:t>LR 12500-1.0</w:t>
      </w:r>
      <w:r>
        <w:t xml:space="preserve"> qui a été décisive. Avec cette nouvelle grue, nous comblons le manque qui existait entre nos grues sur chenilles et nos grues à couronne d’orientation. Cette grue de 2 500 tonnes est principalement destinée à des utilisations dans le domaine des énergies renouvelables. La manutention d’éoliennes offshore dans les ports devient en effet de plus en plus importante et le poids unitaire de leurs composants augmente. »</w:t>
      </w:r>
    </w:p>
    <w:p w14:paraId="0E6DDDA4" w14:textId="77777777" w:rsidR="00CF75FD" w:rsidRDefault="00A2534D" w:rsidP="009C5D4A">
      <w:pPr>
        <w:pStyle w:val="Copytext11Pt"/>
        <w:rPr>
          <w:rFonts w:cs="Arial"/>
        </w:rPr>
      </w:pPr>
      <w:r>
        <w:lastRenderedPageBreak/>
        <w:t xml:space="preserve">Lors du développement du concept de transport, Liebherr a veillé à ce que sa nouvelle grue sur chenilles puisse être utilisée de manière plus économique partout dans le monde. C’est un critère important pour des entreprises internationales comme </w:t>
      </w:r>
      <w:proofErr w:type="spellStart"/>
      <w:r>
        <w:t>Sarens</w:t>
      </w:r>
      <w:proofErr w:type="spellEnd"/>
      <w:r>
        <w:t>.</w:t>
      </w:r>
    </w:p>
    <w:p w14:paraId="7CC79445" w14:textId="5DE7C047" w:rsidR="002C53AD" w:rsidRPr="0027107B" w:rsidRDefault="002C53AD" w:rsidP="009C5D4A">
      <w:pPr>
        <w:pStyle w:val="BoilerplateCopyhead9Pt"/>
        <w:rPr>
          <w:lang w:val="de-DE"/>
        </w:rPr>
      </w:pPr>
      <w:r w:rsidRPr="0027107B">
        <w:rPr>
          <w:lang w:val="de-DE"/>
        </w:rPr>
        <w:t>À propos de Liebherr-Werk Ehingen GmbH</w:t>
      </w:r>
    </w:p>
    <w:p w14:paraId="0F9022C4" w14:textId="781B776F" w:rsidR="002C53AD" w:rsidRPr="00055E65" w:rsidRDefault="002C53AD" w:rsidP="009C5D4A">
      <w:pPr>
        <w:pStyle w:val="BoilerplateCopytext9Pt"/>
      </w:pPr>
      <w:r>
        <w:t>Liebherr-</w:t>
      </w:r>
      <w:proofErr w:type="spellStart"/>
      <w:r>
        <w:t>Werk</w:t>
      </w:r>
      <w:proofErr w:type="spellEnd"/>
      <w:r>
        <w:t xml:space="preserve"> </w:t>
      </w:r>
      <w:proofErr w:type="spellStart"/>
      <w:r>
        <w:t>Ehingen</w:t>
      </w:r>
      <w:proofErr w:type="spellEnd"/>
      <w:r>
        <w:t xml:space="preserve"> GmbH est le premier fabricant de grues mobiles et sur chenilles. Sa gamme de grues mobiles s’étend de grues de 35 tonnes à 2 essieux jusqu’à des grues pour charges lourdes offrant une capacité de charge de 1 200 tonnes et un châssis à 9 essieux. Les grues à flèche en treillis mobiles ou sur chenilles atteignent des capacités de charge allant jusqu’à 3 000 tonnes. Avec des systèmes de flèche universels et de nombreux équipements supplémentaires, elles sont utilisées sur les chantiers du monde entier. Le site d’Ehingen emploie 3 </w:t>
      </w:r>
      <w:r w:rsidR="00780A0E">
        <w:t>8</w:t>
      </w:r>
      <w:r>
        <w:t>00 salariés. Un service complet et mondial garantit une haute disponibilité des grues mobiles et sur chenilles. En 202</w:t>
      </w:r>
      <w:r w:rsidR="00780A0E">
        <w:t>1</w:t>
      </w:r>
      <w:r>
        <w:t>, Liebherr-</w:t>
      </w:r>
      <w:proofErr w:type="spellStart"/>
      <w:r>
        <w:t>Werk</w:t>
      </w:r>
      <w:proofErr w:type="spellEnd"/>
      <w:r>
        <w:t xml:space="preserve"> </w:t>
      </w:r>
      <w:proofErr w:type="spellStart"/>
      <w:r>
        <w:t>Ehingen</w:t>
      </w:r>
      <w:proofErr w:type="spellEnd"/>
      <w:r>
        <w:t xml:space="preserve"> a généré un chiffre d’affaires de 2,</w:t>
      </w:r>
      <w:r w:rsidR="00780A0E">
        <w:t>3</w:t>
      </w:r>
      <w:r>
        <w:t>3 milliards d’euros.</w:t>
      </w:r>
    </w:p>
    <w:p w14:paraId="371B23FD" w14:textId="77777777" w:rsidR="002C53AD" w:rsidRDefault="002C53AD" w:rsidP="009C5D4A">
      <w:pPr>
        <w:pStyle w:val="BoilerplateCopyhead9Pt"/>
      </w:pPr>
      <w:r>
        <w:t>À propos du Groupe Liebherr</w:t>
      </w:r>
    </w:p>
    <w:p w14:paraId="6CD8CCF0" w14:textId="77777777" w:rsidR="0027107B" w:rsidRDefault="0027107B" w:rsidP="0027107B">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6BCADBD2" w14:textId="77777777" w:rsidR="00872A28" w:rsidRDefault="00872A28">
      <w:pPr>
        <w:rPr>
          <w:rFonts w:ascii="Arial" w:eastAsia="Times New Roman" w:hAnsi="Arial" w:cs="Times New Roman"/>
          <w:b/>
          <w:szCs w:val="18"/>
          <w:lang w:eastAsia="de-DE"/>
        </w:rPr>
      </w:pPr>
      <w:r>
        <w:br w:type="page"/>
      </w:r>
    </w:p>
    <w:p w14:paraId="2DF2A9E8" w14:textId="4C9ADADB" w:rsidR="00211470" w:rsidRPr="00707D36" w:rsidRDefault="009C5D4A" w:rsidP="00872A28">
      <w:pPr>
        <w:pStyle w:val="Copyhead11Pt"/>
        <w:rPr>
          <w:rFonts w:eastAsiaTheme="minorHAnsi" w:cs="Arial"/>
        </w:rPr>
      </w:pPr>
      <w:r>
        <w:t>Photo</w:t>
      </w:r>
    </w:p>
    <w:p w14:paraId="61E0BC18" w14:textId="55DBBEF9" w:rsidR="00707D36" w:rsidRDefault="00707D36" w:rsidP="00C7271F">
      <w:pPr>
        <w:spacing w:after="120" w:line="240" w:lineRule="auto"/>
        <w:rPr>
          <w:rFonts w:ascii="Arial" w:hAnsi="Arial"/>
          <w:sz w:val="18"/>
          <w:szCs w:val="18"/>
        </w:rPr>
      </w:pPr>
      <w:r>
        <w:rPr>
          <w:rFonts w:ascii="Arial" w:eastAsiaTheme="minorHAnsi" w:hAnsi="Arial" w:cs="Arial"/>
          <w:b/>
          <w:noProof/>
          <w:lang w:val="de-DE" w:eastAsia="de-DE"/>
        </w:rPr>
        <w:drawing>
          <wp:inline distT="0" distB="0" distL="0" distR="0" wp14:anchorId="6A3A493F" wp14:editId="1B76FB09">
            <wp:extent cx="3803514" cy="4206240"/>
            <wp:effectExtent l="0" t="0" r="6985" b="381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crawler-crane-lr12500-1-0-hochformat-96dpi.jpg"/>
                    <pic:cNvPicPr/>
                  </pic:nvPicPr>
                  <pic:blipFill>
                    <a:blip r:embed="rId11">
                      <a:extLst>
                        <a:ext uri="{28A0092B-C50C-407E-A947-70E740481C1C}">
                          <a14:useLocalDpi xmlns:a14="http://schemas.microsoft.com/office/drawing/2010/main" val="0"/>
                        </a:ext>
                      </a:extLst>
                    </a:blip>
                    <a:stretch>
                      <a:fillRect/>
                    </a:stretch>
                  </pic:blipFill>
                  <pic:spPr>
                    <a:xfrm>
                      <a:off x="0" y="0"/>
                      <a:ext cx="3835554" cy="4241673"/>
                    </a:xfrm>
                    <a:prstGeom prst="rect">
                      <a:avLst/>
                    </a:prstGeom>
                  </pic:spPr>
                </pic:pic>
              </a:graphicData>
            </a:graphic>
          </wp:inline>
        </w:drawing>
      </w:r>
    </w:p>
    <w:p w14:paraId="516CFAA7" w14:textId="5C1BFBFD" w:rsidR="00211470" w:rsidRDefault="00707D36" w:rsidP="009C5D4A">
      <w:pPr>
        <w:pStyle w:val="Caption9Pt"/>
      </w:pPr>
      <w:r>
        <w:t>l</w:t>
      </w:r>
      <w:r w:rsidRPr="00B649EB">
        <w:t>iebherr-crawler-crane-lr12500-1-0.jpg</w:t>
      </w:r>
      <w:r>
        <w:t xml:space="preserve"> </w:t>
      </w:r>
      <w:r>
        <w:br/>
        <w:t>L</w:t>
      </w:r>
      <w:r w:rsidR="00211470">
        <w:t xml:space="preserve">’entreprise de grues et de manutention de charges lourdes </w:t>
      </w:r>
      <w:proofErr w:type="spellStart"/>
      <w:r w:rsidR="00211470">
        <w:t>Sarens</w:t>
      </w:r>
      <w:proofErr w:type="spellEnd"/>
      <w:r w:rsidR="00211470">
        <w:t xml:space="preserve"> a commandé le premier exemplaire de la nouvelle grue sur chenilles Liebherr </w:t>
      </w:r>
      <w:r w:rsidR="009C5D4A">
        <w:t>LR 12500-1.0</w:t>
      </w:r>
      <w:r w:rsidR="00211470">
        <w:t>.</w:t>
      </w:r>
    </w:p>
    <w:p w14:paraId="5CD8BC8C" w14:textId="5CBCA01A" w:rsidR="00211470" w:rsidRDefault="00211470" w:rsidP="00872A28">
      <w:pPr>
        <w:pStyle w:val="Copyhead11Pt"/>
        <w:rPr>
          <w:rFonts w:eastAsiaTheme="minorHAnsi"/>
        </w:rPr>
      </w:pPr>
    </w:p>
    <w:p w14:paraId="4B56F3E4" w14:textId="77777777" w:rsidR="00872A28" w:rsidRPr="00C7271F" w:rsidRDefault="00872A28" w:rsidP="00872A28">
      <w:pPr>
        <w:pStyle w:val="Copyhead11Pt"/>
        <w:rPr>
          <w:rFonts w:eastAsiaTheme="minorHAnsi"/>
        </w:rPr>
      </w:pPr>
    </w:p>
    <w:p w14:paraId="299C1C4B" w14:textId="77777777" w:rsidR="006228BF" w:rsidRPr="002A393E" w:rsidRDefault="006228BF" w:rsidP="009C5D4A">
      <w:pPr>
        <w:pStyle w:val="Copyhead11Pt"/>
        <w:rPr>
          <w:rFonts w:cs="Arial"/>
        </w:rPr>
      </w:pPr>
      <w:r>
        <w:t>Interlocuteur</w:t>
      </w:r>
    </w:p>
    <w:p w14:paraId="7BE4019D" w14:textId="17FB4211" w:rsidR="009C5D4A" w:rsidRPr="00872A28" w:rsidRDefault="006228BF" w:rsidP="00872A28">
      <w:pPr>
        <w:pStyle w:val="Copytext11Pt"/>
        <w:rPr>
          <w:rFonts w:cs="Arial"/>
        </w:rPr>
      </w:pPr>
      <w:r>
        <w:t>Wolfgang Beringer</w:t>
      </w:r>
      <w:r>
        <w:br/>
        <w:t>Marketing et Communication</w:t>
      </w:r>
      <w:r>
        <w:br/>
        <w:t>Téléphone : +49 7391/502-3663</w:t>
      </w:r>
      <w:r>
        <w:br/>
        <w:t>E-mail : wolfgang.beringer@liebherr.com</w:t>
      </w:r>
    </w:p>
    <w:p w14:paraId="56812B47" w14:textId="7725B029" w:rsidR="006228BF" w:rsidRPr="00005B52" w:rsidRDefault="006228BF" w:rsidP="009C5D4A">
      <w:pPr>
        <w:pStyle w:val="Copyhead11Pt"/>
        <w:rPr>
          <w:rFonts w:cs="Arial"/>
          <w:lang w:val="de-DE"/>
        </w:rPr>
      </w:pPr>
      <w:proofErr w:type="spellStart"/>
      <w:r w:rsidRPr="00005B52">
        <w:rPr>
          <w:lang w:val="de-DE"/>
        </w:rPr>
        <w:t>Publié</w:t>
      </w:r>
      <w:proofErr w:type="spellEnd"/>
      <w:r w:rsidRPr="00005B52">
        <w:rPr>
          <w:lang w:val="de-DE"/>
        </w:rPr>
        <w:t xml:space="preserve"> par</w:t>
      </w:r>
    </w:p>
    <w:p w14:paraId="34662D1E" w14:textId="77777777" w:rsidR="006228BF" w:rsidRPr="00005B52" w:rsidRDefault="006228BF" w:rsidP="009C5D4A">
      <w:pPr>
        <w:pStyle w:val="Copytext11Pt"/>
        <w:rPr>
          <w:rFonts w:cs="Arial"/>
          <w:lang w:val="de-DE"/>
        </w:rPr>
      </w:pPr>
      <w:r w:rsidRPr="00005B52">
        <w:rPr>
          <w:lang w:val="de-DE"/>
        </w:rPr>
        <w:t xml:space="preserve">Liebherr-Werk Ehingen GmbH </w:t>
      </w:r>
      <w:r w:rsidRPr="00005B52">
        <w:rPr>
          <w:lang w:val="de-DE"/>
        </w:rPr>
        <w:br/>
        <w:t>Ehingen (</w:t>
      </w:r>
      <w:proofErr w:type="spellStart"/>
      <w:r w:rsidRPr="00005B52">
        <w:rPr>
          <w:lang w:val="de-DE"/>
        </w:rPr>
        <w:t>Danube</w:t>
      </w:r>
      <w:proofErr w:type="spellEnd"/>
      <w:r w:rsidRPr="00005B52">
        <w:rPr>
          <w:lang w:val="de-DE"/>
        </w:rPr>
        <w:t>)/</w:t>
      </w:r>
      <w:proofErr w:type="spellStart"/>
      <w:r w:rsidRPr="00005B52">
        <w:rPr>
          <w:lang w:val="de-DE"/>
        </w:rPr>
        <w:t>Allemagne</w:t>
      </w:r>
      <w:proofErr w:type="spellEnd"/>
      <w:r w:rsidRPr="00005B52">
        <w:rPr>
          <w:lang w:val="de-DE"/>
        </w:rPr>
        <w:br/>
        <w:t>www.liebherr.com</w:t>
      </w:r>
    </w:p>
    <w:sectPr w:rsidR="006228BF" w:rsidRPr="00005B52"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E8EE66" w14:textId="77777777" w:rsidR="007C208B" w:rsidRDefault="007C208B" w:rsidP="00B81ED6">
      <w:pPr>
        <w:spacing w:after="0" w:line="240" w:lineRule="auto"/>
      </w:pPr>
      <w:r>
        <w:separator/>
      </w:r>
    </w:p>
  </w:endnote>
  <w:endnote w:type="continuationSeparator" w:id="0">
    <w:p w14:paraId="6D9F1FC6" w14:textId="77777777" w:rsidR="007C208B" w:rsidRDefault="007C208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B090B0" w14:textId="0905381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8601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86015">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8601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886015">
      <w:rPr>
        <w:rFonts w:ascii="Arial" w:hAnsi="Arial" w:cs="Arial"/>
      </w:rPr>
      <w:fldChar w:fldCharType="separate"/>
    </w:r>
    <w:r w:rsidR="00886015">
      <w:rPr>
        <w:rFonts w:ascii="Arial" w:hAnsi="Arial" w:cs="Arial"/>
        <w:noProof/>
      </w:rPr>
      <w:t>3</w:t>
    </w:r>
    <w:r w:rsidR="00886015" w:rsidRPr="0093605C">
      <w:rPr>
        <w:rFonts w:ascii="Arial" w:hAnsi="Arial" w:cs="Arial"/>
        <w:noProof/>
      </w:rPr>
      <w:t>/</w:t>
    </w:r>
    <w:r w:rsidR="0088601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DDA812" w14:textId="77777777" w:rsidR="007C208B" w:rsidRDefault="007C208B" w:rsidP="00B81ED6">
      <w:pPr>
        <w:spacing w:after="0" w:line="240" w:lineRule="auto"/>
      </w:pPr>
      <w:r>
        <w:separator/>
      </w:r>
    </w:p>
  </w:footnote>
  <w:footnote w:type="continuationSeparator" w:id="0">
    <w:p w14:paraId="29A54760" w14:textId="77777777" w:rsidR="007C208B" w:rsidRDefault="007C208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43870" w14:textId="77777777" w:rsidR="00E847CC" w:rsidRDefault="00E847CC">
    <w:pPr>
      <w:pStyle w:val="Kopfzeile"/>
    </w:pPr>
    <w:r>
      <w:tab/>
    </w:r>
    <w:r>
      <w:tab/>
    </w:r>
    <w:r>
      <w:ptab w:relativeTo="margin" w:alignment="right" w:leader="none"/>
    </w:r>
    <w:r>
      <w:rPr>
        <w:noProof/>
        <w:lang w:val="de-DE" w:eastAsia="de-DE"/>
      </w:rPr>
      <w:drawing>
        <wp:inline distT="0" distB="0" distL="0" distR="0" wp14:anchorId="2FE0DD1A" wp14:editId="608EFCA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6062C81"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05B52"/>
    <w:rsid w:val="0002277D"/>
    <w:rsid w:val="00031972"/>
    <w:rsid w:val="00033002"/>
    <w:rsid w:val="000579DD"/>
    <w:rsid w:val="00066E4A"/>
    <w:rsid w:val="00066E54"/>
    <w:rsid w:val="0007556A"/>
    <w:rsid w:val="00083529"/>
    <w:rsid w:val="000A361C"/>
    <w:rsid w:val="000A377A"/>
    <w:rsid w:val="000A417D"/>
    <w:rsid w:val="000E378E"/>
    <w:rsid w:val="000E3C3F"/>
    <w:rsid w:val="000F2D4D"/>
    <w:rsid w:val="000F30A0"/>
    <w:rsid w:val="000F4A8C"/>
    <w:rsid w:val="000F61BA"/>
    <w:rsid w:val="00104424"/>
    <w:rsid w:val="00104ECF"/>
    <w:rsid w:val="001409C5"/>
    <w:rsid w:val="001419B4"/>
    <w:rsid w:val="00145433"/>
    <w:rsid w:val="00145DB7"/>
    <w:rsid w:val="0015229F"/>
    <w:rsid w:val="00175B0E"/>
    <w:rsid w:val="0019065F"/>
    <w:rsid w:val="001A1AD7"/>
    <w:rsid w:val="001A41B8"/>
    <w:rsid w:val="001F1DE8"/>
    <w:rsid w:val="001F45B5"/>
    <w:rsid w:val="002065EA"/>
    <w:rsid w:val="00211470"/>
    <w:rsid w:val="002219FD"/>
    <w:rsid w:val="002269D9"/>
    <w:rsid w:val="002356D9"/>
    <w:rsid w:val="002433A4"/>
    <w:rsid w:val="00247430"/>
    <w:rsid w:val="0027107B"/>
    <w:rsid w:val="002978CE"/>
    <w:rsid w:val="002A393E"/>
    <w:rsid w:val="002A5C57"/>
    <w:rsid w:val="002B6DAF"/>
    <w:rsid w:val="002C53AD"/>
    <w:rsid w:val="002D715F"/>
    <w:rsid w:val="002E3813"/>
    <w:rsid w:val="00310F43"/>
    <w:rsid w:val="00316C2B"/>
    <w:rsid w:val="00317E60"/>
    <w:rsid w:val="00327624"/>
    <w:rsid w:val="00340035"/>
    <w:rsid w:val="0034272E"/>
    <w:rsid w:val="003524D2"/>
    <w:rsid w:val="00356BD8"/>
    <w:rsid w:val="00387848"/>
    <w:rsid w:val="003936A6"/>
    <w:rsid w:val="003A7927"/>
    <w:rsid w:val="003D2D66"/>
    <w:rsid w:val="003E28B3"/>
    <w:rsid w:val="00410148"/>
    <w:rsid w:val="00424A81"/>
    <w:rsid w:val="00427A4E"/>
    <w:rsid w:val="004541C1"/>
    <w:rsid w:val="00456D10"/>
    <w:rsid w:val="00466A15"/>
    <w:rsid w:val="00482714"/>
    <w:rsid w:val="004A1B8E"/>
    <w:rsid w:val="004E1143"/>
    <w:rsid w:val="004E74AF"/>
    <w:rsid w:val="00500788"/>
    <w:rsid w:val="00546AE3"/>
    <w:rsid w:val="00556698"/>
    <w:rsid w:val="00575333"/>
    <w:rsid w:val="005805A1"/>
    <w:rsid w:val="005811D9"/>
    <w:rsid w:val="00583D52"/>
    <w:rsid w:val="00585E66"/>
    <w:rsid w:val="005B0F27"/>
    <w:rsid w:val="005B39F0"/>
    <w:rsid w:val="005D51EB"/>
    <w:rsid w:val="006228BF"/>
    <w:rsid w:val="00631B86"/>
    <w:rsid w:val="00652E53"/>
    <w:rsid w:val="00663F7D"/>
    <w:rsid w:val="006B57D2"/>
    <w:rsid w:val="006D3AFB"/>
    <w:rsid w:val="006D498E"/>
    <w:rsid w:val="006F0A7D"/>
    <w:rsid w:val="006F4B04"/>
    <w:rsid w:val="0070516B"/>
    <w:rsid w:val="0070698F"/>
    <w:rsid w:val="00707D36"/>
    <w:rsid w:val="00735FD6"/>
    <w:rsid w:val="00747169"/>
    <w:rsid w:val="00754EFC"/>
    <w:rsid w:val="00756746"/>
    <w:rsid w:val="00761197"/>
    <w:rsid w:val="007620D3"/>
    <w:rsid w:val="00780A0E"/>
    <w:rsid w:val="00783E18"/>
    <w:rsid w:val="007C208B"/>
    <w:rsid w:val="007C2DD9"/>
    <w:rsid w:val="007C5BBE"/>
    <w:rsid w:val="007E6D22"/>
    <w:rsid w:val="007F2586"/>
    <w:rsid w:val="008127C3"/>
    <w:rsid w:val="0082320F"/>
    <w:rsid w:val="0082341B"/>
    <w:rsid w:val="00824226"/>
    <w:rsid w:val="00827B5A"/>
    <w:rsid w:val="00830478"/>
    <w:rsid w:val="00830DFA"/>
    <w:rsid w:val="00831A4B"/>
    <w:rsid w:val="008410E9"/>
    <w:rsid w:val="00872A28"/>
    <w:rsid w:val="00877A3F"/>
    <w:rsid w:val="0088513F"/>
    <w:rsid w:val="00886015"/>
    <w:rsid w:val="008965F2"/>
    <w:rsid w:val="008C61CC"/>
    <w:rsid w:val="008D04AB"/>
    <w:rsid w:val="008F7115"/>
    <w:rsid w:val="009029E6"/>
    <w:rsid w:val="009119F4"/>
    <w:rsid w:val="009169F9"/>
    <w:rsid w:val="0093605C"/>
    <w:rsid w:val="009376A6"/>
    <w:rsid w:val="00946305"/>
    <w:rsid w:val="00965077"/>
    <w:rsid w:val="00966EAC"/>
    <w:rsid w:val="00986FB0"/>
    <w:rsid w:val="009A35E1"/>
    <w:rsid w:val="009A3D17"/>
    <w:rsid w:val="009A70FA"/>
    <w:rsid w:val="009B052F"/>
    <w:rsid w:val="009B4CF5"/>
    <w:rsid w:val="009B5053"/>
    <w:rsid w:val="009C5D4A"/>
    <w:rsid w:val="009D5250"/>
    <w:rsid w:val="009E27D6"/>
    <w:rsid w:val="009E5948"/>
    <w:rsid w:val="00A0308C"/>
    <w:rsid w:val="00A13E1F"/>
    <w:rsid w:val="00A2534D"/>
    <w:rsid w:val="00A55BCD"/>
    <w:rsid w:val="00A76FDC"/>
    <w:rsid w:val="00A81B0E"/>
    <w:rsid w:val="00A82E0A"/>
    <w:rsid w:val="00A8382E"/>
    <w:rsid w:val="00A94A9E"/>
    <w:rsid w:val="00AA2DE5"/>
    <w:rsid w:val="00AC10D4"/>
    <w:rsid w:val="00AC2129"/>
    <w:rsid w:val="00AC5894"/>
    <w:rsid w:val="00AD25BD"/>
    <w:rsid w:val="00AD55ED"/>
    <w:rsid w:val="00AF1F99"/>
    <w:rsid w:val="00B63EFA"/>
    <w:rsid w:val="00B81ED6"/>
    <w:rsid w:val="00B86F61"/>
    <w:rsid w:val="00B92B64"/>
    <w:rsid w:val="00BB0064"/>
    <w:rsid w:val="00BB0BFF"/>
    <w:rsid w:val="00BC197A"/>
    <w:rsid w:val="00BC308E"/>
    <w:rsid w:val="00BC3504"/>
    <w:rsid w:val="00BD7045"/>
    <w:rsid w:val="00BF744F"/>
    <w:rsid w:val="00C03167"/>
    <w:rsid w:val="00C037E9"/>
    <w:rsid w:val="00C20BD6"/>
    <w:rsid w:val="00C262E0"/>
    <w:rsid w:val="00C35928"/>
    <w:rsid w:val="00C449ED"/>
    <w:rsid w:val="00C464EC"/>
    <w:rsid w:val="00C64440"/>
    <w:rsid w:val="00C7271F"/>
    <w:rsid w:val="00C77574"/>
    <w:rsid w:val="00C90922"/>
    <w:rsid w:val="00C930E3"/>
    <w:rsid w:val="00CA3D22"/>
    <w:rsid w:val="00CB61F0"/>
    <w:rsid w:val="00CD175D"/>
    <w:rsid w:val="00CF75FD"/>
    <w:rsid w:val="00D23C66"/>
    <w:rsid w:val="00D42698"/>
    <w:rsid w:val="00D63B50"/>
    <w:rsid w:val="00D7179E"/>
    <w:rsid w:val="00D7274F"/>
    <w:rsid w:val="00D93257"/>
    <w:rsid w:val="00DD4238"/>
    <w:rsid w:val="00DF40C0"/>
    <w:rsid w:val="00E260E6"/>
    <w:rsid w:val="00E32363"/>
    <w:rsid w:val="00E46015"/>
    <w:rsid w:val="00E563BC"/>
    <w:rsid w:val="00E6537F"/>
    <w:rsid w:val="00E66D50"/>
    <w:rsid w:val="00E74668"/>
    <w:rsid w:val="00E746BA"/>
    <w:rsid w:val="00E847CC"/>
    <w:rsid w:val="00EA26F3"/>
    <w:rsid w:val="00EC3FCB"/>
    <w:rsid w:val="00EC50AD"/>
    <w:rsid w:val="00ED6B42"/>
    <w:rsid w:val="00F03786"/>
    <w:rsid w:val="00F274B4"/>
    <w:rsid w:val="00F30B7E"/>
    <w:rsid w:val="00F65873"/>
    <w:rsid w:val="00F7631D"/>
    <w:rsid w:val="00F81B6B"/>
    <w:rsid w:val="00F83B9E"/>
    <w:rsid w:val="00F976BB"/>
    <w:rsid w:val="00FB2A30"/>
    <w:rsid w:val="00FD2FA2"/>
    <w:rsid w:val="00FD5472"/>
    <w:rsid w:val="00FF0817"/>
    <w:rsid w:val="00FF7A7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614D62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2C53AD"/>
    <w:rPr>
      <w:b/>
    </w:rPr>
  </w:style>
  <w:style w:type="paragraph" w:customStyle="1" w:styleId="LHbase-type11ptregular">
    <w:name w:val="LH_base-type 11pt regular"/>
    <w:qFormat/>
    <w:rsid w:val="002C53AD"/>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987660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935D97-965F-485F-B765-E95F091059C4}">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3.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8B9FC24-48BF-4EB5-8A5B-5E0682920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677</Words>
  <Characters>4267</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8</cp:revision>
  <cp:lastPrinted>2022-03-15T12:58:00Z</cp:lastPrinted>
  <dcterms:created xsi:type="dcterms:W3CDTF">2022-03-29T05:32:00Z</dcterms:created>
  <dcterms:modified xsi:type="dcterms:W3CDTF">2022-04-06T13:26:00Z</dcterms:modified>
  <cp:category>Presseinformation</cp:category>
</cp:coreProperties>
</file>