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921ECA" w14:textId="77777777" w:rsidR="00F62892" w:rsidRPr="00227688" w:rsidRDefault="00E847CC" w:rsidP="005C756D">
      <w:pPr>
        <w:pStyle w:val="Topline16"/>
      </w:pPr>
      <w:r>
        <w:t>Nota de prensa</w:t>
      </w:r>
    </w:p>
    <w:p w14:paraId="5EB41375" w14:textId="7BB6B762" w:rsidR="00E847CC" w:rsidRPr="005C756D" w:rsidRDefault="003E18DA" w:rsidP="009D62B8">
      <w:pPr>
        <w:pStyle w:val="HeadlineH233Pt"/>
      </w:pPr>
      <w:r>
        <w:t>Innovación</w:t>
      </w:r>
      <w:r w:rsidR="000579DD">
        <w:t>: la LR 12500-1.0 completa la gama de grúas sobre orugas Liebherr de grandes dimensiones</w:t>
      </w:r>
    </w:p>
    <w:p w14:paraId="3D5B54E2"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73D432B9" w14:textId="26CE045F" w:rsidR="00827B5A" w:rsidRDefault="007511BF" w:rsidP="00827B5A">
      <w:pPr>
        <w:pStyle w:val="Bulletpoints11Pt"/>
      </w:pPr>
      <w:r>
        <w:t xml:space="preserve">HighPerformanceBoom: máxima capacidad de </w:t>
      </w:r>
      <w:r w:rsidR="003E18DA">
        <w:t>elevación</w:t>
      </w:r>
      <w:r>
        <w:t xml:space="preserve"> con </w:t>
      </w:r>
      <w:r w:rsidR="003E18DA">
        <w:t xml:space="preserve">una gran </w:t>
      </w:r>
      <w:r>
        <w:t xml:space="preserve">pluma de celosía </w:t>
      </w:r>
    </w:p>
    <w:p w14:paraId="2EAACE22" w14:textId="77777777" w:rsidR="0088513F" w:rsidRDefault="00104424" w:rsidP="00827B5A">
      <w:pPr>
        <w:pStyle w:val="Bulletpoints11Pt"/>
      </w:pPr>
      <w:r>
        <w:t>Soluciones inteligentes para el transporte económico de los componentes de la grúa</w:t>
      </w:r>
    </w:p>
    <w:p w14:paraId="69B2A99E" w14:textId="77777777" w:rsidR="00E66D50" w:rsidRDefault="00E66D50" w:rsidP="00827B5A">
      <w:pPr>
        <w:pStyle w:val="Bulletpoints11Pt"/>
      </w:pPr>
      <w:r>
        <w:t xml:space="preserve">Diseño innovador de la plataforma de giro </w:t>
      </w:r>
    </w:p>
    <w:p w14:paraId="0622063E" w14:textId="36BFFF8D" w:rsidR="00AA2DE5" w:rsidRPr="005C756D" w:rsidRDefault="000579DD" w:rsidP="005C756D">
      <w:pPr>
        <w:pStyle w:val="Teaser11Pt"/>
        <w:rPr>
          <w:rFonts w:cs="Arial"/>
        </w:rPr>
      </w:pPr>
      <w:r>
        <w:t>Liebherr presenta una nueva grúa sobre orugas bajo el lema «Gamechanger for tomorrows energy»: la LR 12500-1.0, con una capacidad de carga de 2</w:t>
      </w:r>
      <w:r w:rsidR="003E18DA">
        <w:t>.</w:t>
      </w:r>
      <w:r>
        <w:t xml:space="preserve">500 toneladas, completa la gama justo </w:t>
      </w:r>
      <w:r w:rsidR="00E87E97">
        <w:t xml:space="preserve">por </w:t>
      </w:r>
      <w:r>
        <w:t xml:space="preserve">debajo de la LR 13000. Los diseños de la plataforma de giro y de la pluma principal establecen nuevos estándares, ya que el ancho inigualable de la pluma principal </w:t>
      </w:r>
      <w:r w:rsidR="00415960" w:rsidRPr="00415960">
        <w:t xml:space="preserve">le da a la grúa la estabilidad </w:t>
      </w:r>
      <w:r>
        <w:t xml:space="preserve"> de una PowerBoom. Liebherr ha decidido denominar </w:t>
      </w:r>
      <w:r w:rsidR="00415960">
        <w:t xml:space="preserve">a </w:t>
      </w:r>
      <w:r>
        <w:t xml:space="preserve">la nueva construcción de </w:t>
      </w:r>
      <w:r w:rsidR="00415960">
        <w:t xml:space="preserve">la </w:t>
      </w:r>
      <w:r>
        <w:t xml:space="preserve">pluma como HighPerformanceBoom. A pesar de la enorme capacidad de esta nueva grúa sobre orugas y del tamaño de los componentes, Liebherr ha logrado un </w:t>
      </w:r>
      <w:r w:rsidR="00415960">
        <w:t xml:space="preserve">diseño </w:t>
      </w:r>
      <w:r>
        <w:t xml:space="preserve">único y práctico para </w:t>
      </w:r>
      <w:r w:rsidR="00415960">
        <w:t>un</w:t>
      </w:r>
      <w:r>
        <w:t xml:space="preserve"> transporte económico. </w:t>
      </w:r>
    </w:p>
    <w:p w14:paraId="37D3DB35" w14:textId="77908DA2" w:rsidR="008D5060" w:rsidRDefault="009751F1" w:rsidP="00FB4D89">
      <w:pPr>
        <w:pStyle w:val="Copytext11Pt"/>
      </w:pPr>
      <w:r>
        <w:t>Ehingen (Donau) (Alemania), 7</w:t>
      </w:r>
      <w:bookmarkStart w:id="0" w:name="_GoBack"/>
      <w:bookmarkEnd w:id="0"/>
      <w:r w:rsidR="0088513F">
        <w:t xml:space="preserve"> de abril de 2022</w:t>
      </w:r>
      <w:r w:rsidR="00BB7570">
        <w:t xml:space="preserve"> –</w:t>
      </w:r>
      <w:r w:rsidR="0088513F">
        <w:t xml:space="preserve"> </w:t>
      </w:r>
      <w:r w:rsidR="00BF04E8">
        <w:t>La creciente demanda del mercado de</w:t>
      </w:r>
      <w:r w:rsidR="0088513F">
        <w:t xml:space="preserve"> grúas sobre orugas de grandes dimensiones </w:t>
      </w:r>
      <w:r w:rsidR="00BF04E8">
        <w:t>es cada vez mayor</w:t>
      </w:r>
      <w:r w:rsidR="0088513F">
        <w:t xml:space="preserve">, por </w:t>
      </w:r>
      <w:r w:rsidR="00BF04E8">
        <w:t>ejemplo,</w:t>
      </w:r>
      <w:r w:rsidR="0088513F">
        <w:t xml:space="preserve"> en el sector petroquímico y </w:t>
      </w:r>
      <w:r w:rsidR="00E87E97">
        <w:t>portuario</w:t>
      </w:r>
      <w:r w:rsidR="0088513F">
        <w:t xml:space="preserve"> que exige la </w:t>
      </w:r>
      <w:r w:rsidR="00BF04E8">
        <w:t xml:space="preserve">manipulación </w:t>
      </w:r>
      <w:r w:rsidR="0088513F">
        <w:t xml:space="preserve">en el puerto de </w:t>
      </w:r>
      <w:r w:rsidR="00BF04E8">
        <w:t xml:space="preserve">enormes </w:t>
      </w:r>
      <w:r w:rsidR="0088513F">
        <w:t xml:space="preserve">componentes para aplicaciones </w:t>
      </w:r>
      <w:r w:rsidR="00BF04E8">
        <w:t>offshore</w:t>
      </w:r>
      <w:r w:rsidR="0088513F">
        <w:t xml:space="preserve">. Impulsados por el cambio energético, los pesos </w:t>
      </w:r>
      <w:r w:rsidR="00BF04E8">
        <w:t>de las piezas aumentan constantemente</w:t>
      </w:r>
      <w:r w:rsidR="0088513F">
        <w:t xml:space="preserve">, </w:t>
      </w:r>
      <w:r w:rsidR="00BF04E8" w:rsidRPr="00BF04E8">
        <w:t>especialmente cuando se manipulan componentes para turbinas eólicas marinas.</w:t>
      </w:r>
      <w:r w:rsidR="0088513F">
        <w:t xml:space="preserve"> Liebherr afronta este desafío con una nueva grúa sobre orugas</w:t>
      </w:r>
      <w:r w:rsidR="00BF04E8">
        <w:t>,</w:t>
      </w:r>
      <w:r w:rsidR="008D5060">
        <w:t xml:space="preserve"> </w:t>
      </w:r>
      <w:r w:rsidR="0088513F">
        <w:t>la LR 12500-1.0</w:t>
      </w:r>
      <w:r w:rsidR="00BF04E8">
        <w:t>, que</w:t>
      </w:r>
      <w:r w:rsidR="0088513F">
        <w:t xml:space="preserve"> completa la gama de grúas </w:t>
      </w:r>
      <w:r w:rsidR="00BF04E8">
        <w:t>con</w:t>
      </w:r>
      <w:r w:rsidR="0088513F">
        <w:t xml:space="preserve"> pluma de celosía</w:t>
      </w:r>
      <w:r w:rsidR="00FB4D89">
        <w:t>, ubicándose</w:t>
      </w:r>
      <w:r w:rsidR="0088513F">
        <w:t xml:space="preserve"> entre la LR 11350 de 1350</w:t>
      </w:r>
      <w:r w:rsidR="00381DB5">
        <w:t> </w:t>
      </w:r>
      <w:r w:rsidR="0088513F">
        <w:t xml:space="preserve">toneladas y la LR 13000 de 3000 toneladas de capacidad de carga. Gracias a su enorme capacidad de </w:t>
      </w:r>
      <w:r w:rsidR="00FB4D89">
        <w:t xml:space="preserve">elevación </w:t>
      </w:r>
      <w:r w:rsidR="0088513F">
        <w:t xml:space="preserve">y su concepto de transporte único, </w:t>
      </w:r>
      <w:r w:rsidR="00FB4D89" w:rsidRPr="00FB4D89">
        <w:t>la LR</w:t>
      </w:r>
      <w:r w:rsidR="00381DB5">
        <w:t> </w:t>
      </w:r>
      <w:r w:rsidR="00FB4D89" w:rsidRPr="00FB4D89">
        <w:t>12500-1.0</w:t>
      </w:r>
      <w:r w:rsidR="00FB4D89">
        <w:t xml:space="preserve"> </w:t>
      </w:r>
      <w:r w:rsidR="00FB4D89" w:rsidRPr="00FB4D89">
        <w:t>ha sido diseñada como una grúa sobre orugas económica para proyectos globales.</w:t>
      </w:r>
    </w:p>
    <w:p w14:paraId="1DD499D5" w14:textId="7FD209EE" w:rsidR="00B92B64" w:rsidRPr="008D5060" w:rsidRDefault="00DC173B" w:rsidP="00BB7570">
      <w:pPr>
        <w:pStyle w:val="Copyhead11Pt"/>
      </w:pPr>
      <w:r w:rsidRPr="008D5060">
        <w:t xml:space="preserve">Máximo rendimiento con HighPerformanceBoom </w:t>
      </w:r>
    </w:p>
    <w:p w14:paraId="001E3728" w14:textId="100667C1" w:rsidR="00F274B4" w:rsidRPr="005C756D" w:rsidRDefault="008F7115" w:rsidP="005C756D">
      <w:pPr>
        <w:pStyle w:val="Copytext11Pt"/>
      </w:pPr>
      <w:r>
        <w:t xml:space="preserve">Una pluma de celosía ancha es la llave para obtener grandes capacidades de </w:t>
      </w:r>
      <w:r w:rsidR="00812A8E">
        <w:t>elevación</w:t>
      </w:r>
      <w:r>
        <w:t xml:space="preserve">. Hasta ahora, se habían usado soluciones </w:t>
      </w:r>
      <w:r w:rsidR="00812A8E">
        <w:t xml:space="preserve">por ejemplo </w:t>
      </w:r>
      <w:r>
        <w:t>la pluma doble</w:t>
      </w:r>
      <w:r w:rsidR="00812A8E">
        <w:t xml:space="preserve"> como el</w:t>
      </w:r>
      <w:r w:rsidR="00812A8E" w:rsidRPr="00812A8E">
        <w:t xml:space="preserve"> </w:t>
      </w:r>
      <w:r w:rsidR="00812A8E">
        <w:t>PowerBoom</w:t>
      </w:r>
      <w:r>
        <w:t xml:space="preserve"> o sistemas SX más anchos. En la construcción de la LR 12500-1.0, sin embargo, los </w:t>
      </w:r>
      <w:r w:rsidR="00812A8E">
        <w:t xml:space="preserve">ingenieros </w:t>
      </w:r>
      <w:r>
        <w:t xml:space="preserve">de Liebherr decidieron explorar nuevas vías: la HighPerformanceBoom ancha y potente se introduce en la plataforma de giro </w:t>
      </w:r>
      <w:r>
        <w:lastRenderedPageBreak/>
        <w:t xml:space="preserve">de manera optimizada. </w:t>
      </w:r>
      <w:r w:rsidR="00812A8E" w:rsidRPr="00812A8E">
        <w:t xml:space="preserve">Esto es posible gracias a </w:t>
      </w:r>
      <w:r w:rsidR="00E87E97">
        <w:t xml:space="preserve">que </w:t>
      </w:r>
      <w:r w:rsidR="00812A8E" w:rsidRPr="00812A8E">
        <w:t xml:space="preserve">una sección frontal de </w:t>
      </w:r>
      <w:r w:rsidR="00E87E97">
        <w:t xml:space="preserve">la </w:t>
      </w:r>
      <w:r w:rsidR="00812A8E" w:rsidRPr="00812A8E">
        <w:t>superestructura se transporta en un remolque de cama baja</w:t>
      </w:r>
      <w:r w:rsidR="00812A8E">
        <w:t>,</w:t>
      </w:r>
      <w:r w:rsidR="00812A8E" w:rsidRPr="00812A8E">
        <w:t xml:space="preserve"> con 4</w:t>
      </w:r>
      <w:r w:rsidR="00381DB5">
        <w:t> </w:t>
      </w:r>
      <w:r w:rsidR="00812A8E" w:rsidRPr="00812A8E">
        <w:t>metros</w:t>
      </w:r>
      <w:r w:rsidR="00812A8E">
        <w:t xml:space="preserve"> de ancho</w:t>
      </w:r>
      <w:r>
        <w:t xml:space="preserve">. </w:t>
      </w:r>
    </w:p>
    <w:p w14:paraId="25532604" w14:textId="40501C5E" w:rsidR="00C2767C" w:rsidRDefault="002E3813" w:rsidP="003F05D1">
      <w:pPr>
        <w:pStyle w:val="Copytext11Pt"/>
        <w:rPr>
          <w:b/>
        </w:rPr>
      </w:pPr>
      <w:r>
        <w:t>La plataforma de giro se complementa con un componente trasero de 3,5</w:t>
      </w:r>
      <w:r w:rsidR="00381DB5">
        <w:t> </w:t>
      </w:r>
      <w:r>
        <w:t xml:space="preserve">metros que integra ambos motores de accionamiento. Dos motores en línea de 6 cilindros Liebherr aportan una potencia total de 800 kW/1088 CV. </w:t>
      </w:r>
      <w:r w:rsidR="00F429FB">
        <w:t>Tienen un diseño</w:t>
      </w:r>
      <w:r>
        <w:t xml:space="preserve"> redundante para incrementar la disponibilidad de la grúa. No se requiere</w:t>
      </w:r>
      <w:r w:rsidR="00F429FB">
        <w:t xml:space="preserve"> de</w:t>
      </w:r>
      <w:r>
        <w:t xml:space="preserve"> ningún paquete de potencia </w:t>
      </w:r>
      <w:r w:rsidR="00F429FB">
        <w:t>adicional</w:t>
      </w:r>
      <w:r>
        <w:t xml:space="preserve"> Los dos cabrestantes de elevación también se encuentran en la parte trasera. </w:t>
      </w:r>
    </w:p>
    <w:p w14:paraId="01E62E31" w14:textId="77777777" w:rsidR="00C64440" w:rsidRPr="005C756D" w:rsidRDefault="002219FD" w:rsidP="005C756D">
      <w:pPr>
        <w:pStyle w:val="Copyhead11Pt"/>
      </w:pPr>
      <w:r>
        <w:t xml:space="preserve">Soluciones inteligentes para un transporte económico </w:t>
      </w:r>
    </w:p>
    <w:p w14:paraId="7686ACE5" w14:textId="6C1C1DE2" w:rsidR="00A55BCD" w:rsidRPr="005C756D" w:rsidRDefault="00A55BCD" w:rsidP="005C756D">
      <w:pPr>
        <w:pStyle w:val="Copytext11Pt"/>
      </w:pPr>
      <w:r>
        <w:t xml:space="preserve">Las </w:t>
      </w:r>
      <w:r w:rsidR="00F429FB">
        <w:t xml:space="preserve">secciones </w:t>
      </w:r>
      <w:r>
        <w:t>intermedias de la HighPerformanceBoom</w:t>
      </w:r>
      <w:r w:rsidR="00F429FB">
        <w:t>,</w:t>
      </w:r>
      <w:r>
        <w:t xml:space="preserve"> de 10</w:t>
      </w:r>
      <w:r w:rsidR="00381DB5">
        <w:t> </w:t>
      </w:r>
      <w:r>
        <w:t>metros cada una</w:t>
      </w:r>
      <w:r w:rsidR="00F429FB">
        <w:t>,</w:t>
      </w:r>
      <w:r>
        <w:t xml:space="preserve"> se reducen a un tamaño de transporte económico mediante un mecanismo </w:t>
      </w:r>
      <w:r w:rsidR="00F429FB">
        <w:t>refinado</w:t>
      </w:r>
      <w:r>
        <w:t xml:space="preserve">. Un dispositivo separado estabiliza el tramo de celosía durante el proceso de montaje en la obra.  </w:t>
      </w:r>
    </w:p>
    <w:p w14:paraId="27A3B5A5" w14:textId="521D0168" w:rsidR="00340035" w:rsidRPr="008D5060" w:rsidRDefault="005D51EB" w:rsidP="005C756D">
      <w:pPr>
        <w:pStyle w:val="Copytext11Pt"/>
      </w:pPr>
      <w:r>
        <w:t xml:space="preserve">Para transportar los soportes de </w:t>
      </w:r>
      <w:r w:rsidR="00F429FB">
        <w:t xml:space="preserve">las </w:t>
      </w:r>
      <w:r>
        <w:t>oruga</w:t>
      </w:r>
      <w:r w:rsidR="00F429FB">
        <w:t>s,</w:t>
      </w:r>
      <w:r>
        <w:t xml:space="preserve"> de aprox</w:t>
      </w:r>
      <w:r w:rsidR="00F429FB">
        <w:t>imadamente</w:t>
      </w:r>
      <w:r>
        <w:t xml:space="preserve"> 150</w:t>
      </w:r>
      <w:r w:rsidR="00381DB5">
        <w:t> </w:t>
      </w:r>
      <w:r>
        <w:t>toneladas de peso cada uno, se desmonta la cadena y se transporta de forma práctica en un contenedor. El soporte de</w:t>
      </w:r>
      <w:r w:rsidR="00F429FB">
        <w:t xml:space="preserve"> la</w:t>
      </w:r>
      <w:r>
        <w:t xml:space="preserve"> oruga restante se </w:t>
      </w:r>
      <w:r w:rsidR="00F429FB">
        <w:t xml:space="preserve">transporta </w:t>
      </w:r>
      <w:r>
        <w:t xml:space="preserve">dividido en dos remolques de plataforma baja. Las placas de </w:t>
      </w:r>
      <w:r w:rsidR="00F429FB">
        <w:t>contrapeso</w:t>
      </w:r>
      <w:r>
        <w:t xml:space="preserve"> de 25</w:t>
      </w:r>
      <w:r w:rsidR="00381DB5">
        <w:t> </w:t>
      </w:r>
      <w:r>
        <w:t xml:space="preserve">toneladas son idénticas a las de la </w:t>
      </w:r>
      <w:r w:rsidR="00F429FB">
        <w:t xml:space="preserve">grúa sobre orugas Liebherr </w:t>
      </w:r>
      <w:r>
        <w:t>LR</w:t>
      </w:r>
      <w:r w:rsidR="00381DB5">
        <w:t> </w:t>
      </w:r>
      <w:r>
        <w:t>13000. Para facilitar un transporte especialmente económico, tienen el mismo tamaño que un contenedor de 20</w:t>
      </w:r>
      <w:r w:rsidR="00381DB5">
        <w:t> </w:t>
      </w:r>
      <w:r>
        <w:t xml:space="preserve">pies y se pueden cargar con un </w:t>
      </w:r>
      <w:r w:rsidRPr="008D5060">
        <w:t xml:space="preserve">sistema </w:t>
      </w:r>
      <w:r w:rsidRPr="008D5060">
        <w:rPr>
          <w:iCs/>
        </w:rPr>
        <w:t>spreader</w:t>
      </w:r>
      <w:r w:rsidRPr="008D5060">
        <w:t>.</w:t>
      </w:r>
    </w:p>
    <w:p w14:paraId="4E7C4D70" w14:textId="0C5F4382" w:rsidR="000050BD" w:rsidRPr="005C756D" w:rsidRDefault="000050BD" w:rsidP="005C756D">
      <w:pPr>
        <w:pStyle w:val="Copytext11Pt"/>
      </w:pPr>
      <w:r>
        <w:t>La LR 12500-1.0 ha sido diseñada con un ancho de transporte de 3,5 metros. Solo dos componentes de la nueva grúa de 2500 toneladas alcanzan un ancho de transporte de 4</w:t>
      </w:r>
      <w:r w:rsidR="00381DB5">
        <w:t> </w:t>
      </w:r>
      <w:r>
        <w:t>metros.</w:t>
      </w:r>
    </w:p>
    <w:p w14:paraId="11B39B01" w14:textId="77777777" w:rsidR="00A55BCD" w:rsidRPr="005C756D" w:rsidRDefault="004E74AF" w:rsidP="005C756D">
      <w:pPr>
        <w:pStyle w:val="Copyhead11Pt"/>
      </w:pPr>
      <w:r>
        <w:t>Sistema de pluma modular</w:t>
      </w:r>
    </w:p>
    <w:p w14:paraId="324E3C9F" w14:textId="295EBD30" w:rsidR="004E74AF" w:rsidRPr="005C756D" w:rsidRDefault="0070516B" w:rsidP="005C756D">
      <w:pPr>
        <w:pStyle w:val="Copytext11Pt"/>
      </w:pPr>
      <w:r>
        <w:t xml:space="preserve">La nueva LR 12500-1.0 alcanza </w:t>
      </w:r>
      <w:r w:rsidR="008161E4">
        <w:t>una</w:t>
      </w:r>
      <w:r>
        <w:t xml:space="preserve"> altura máxima de gancho de unos 200 metros con una pluma principal de 100 metros y un plumín abatible de 108 metros. Si se monta con una longitud reducida, el plumín abatible también sirve como </w:t>
      </w:r>
      <w:r w:rsidR="008161E4">
        <w:t xml:space="preserve">una potente </w:t>
      </w:r>
      <w:r>
        <w:t xml:space="preserve">pluma WV. El denominado Vessel-Lifter es especialmente adecuado para levantar largas columnas </w:t>
      </w:r>
      <w:r w:rsidR="008161E4">
        <w:t xml:space="preserve"> en </w:t>
      </w:r>
      <w:r w:rsidR="000554FD">
        <w:t xml:space="preserve">las </w:t>
      </w:r>
      <w:r w:rsidR="008161E4">
        <w:t>plantas petroquímicas</w:t>
      </w:r>
      <w:r>
        <w:t>.</w:t>
      </w:r>
    </w:p>
    <w:p w14:paraId="7E786FA2" w14:textId="24078B46" w:rsidR="00EC50AD" w:rsidRPr="005C756D" w:rsidRDefault="008161E4" w:rsidP="005C756D">
      <w:pPr>
        <w:pStyle w:val="Copytext11Pt"/>
      </w:pPr>
      <w:r w:rsidRPr="008161E4">
        <w:t>La pluma HighPerformanceBoom de 110</w:t>
      </w:r>
      <w:r w:rsidR="00381DB5">
        <w:t> </w:t>
      </w:r>
      <w:r w:rsidRPr="008161E4">
        <w:t xml:space="preserve">metros se puede </w:t>
      </w:r>
      <w:r>
        <w:t>ampliar</w:t>
      </w:r>
      <w:r w:rsidRPr="008161E4">
        <w:t xml:space="preserve"> a 155</w:t>
      </w:r>
      <w:r w:rsidR="00381DB5">
        <w:t> </w:t>
      </w:r>
      <w:r w:rsidRPr="008161E4">
        <w:t>metros usando partes del plumín abatible</w:t>
      </w:r>
      <w:r w:rsidR="00EC50AD">
        <w:t xml:space="preserve">. En la pluma Derrick, la placa de </w:t>
      </w:r>
      <w:r>
        <w:t>contrapeso</w:t>
      </w:r>
      <w:r w:rsidR="00EC50AD">
        <w:t xml:space="preserve">de la LR 13000 funciona como </w:t>
      </w:r>
      <w:r>
        <w:t xml:space="preserve">contrapeso </w:t>
      </w:r>
      <w:r w:rsidR="00EC50AD">
        <w:t xml:space="preserve">flotante. Si hay poco espacio disponible y no se puede usar un </w:t>
      </w:r>
      <w:r>
        <w:t xml:space="preserve">contrapeso </w:t>
      </w:r>
      <w:r w:rsidR="00EC50AD">
        <w:t>flotante, se puede trabajar con una denominada variante B0 sin Derrick. Este concepto también se ha tomado de la LR</w:t>
      </w:r>
      <w:r w:rsidR="00381DB5">
        <w:t> </w:t>
      </w:r>
      <w:r w:rsidR="00EC50AD">
        <w:t>13000. El</w:t>
      </w:r>
      <w:r>
        <w:t>contrapeso</w:t>
      </w:r>
      <w:r w:rsidR="00EC50AD">
        <w:t xml:space="preserve"> flotante se regula de forma continua con la pluma Derrick. Con una guía rígida se puede ampliar el radio de </w:t>
      </w:r>
      <w:r>
        <w:t>contrapeso</w:t>
      </w:r>
      <w:r w:rsidR="00EC50AD">
        <w:t xml:space="preserve"> al radio máximo.</w:t>
      </w:r>
    </w:p>
    <w:p w14:paraId="7BF51873" w14:textId="77777777" w:rsidR="005736C5" w:rsidRPr="006228BF" w:rsidRDefault="005736C5" w:rsidP="00BB7570">
      <w:pPr>
        <w:pStyle w:val="BoilerplateCopyhead9Pt"/>
      </w:pPr>
      <w:r>
        <w:t>Sobre Liebherr-Werk Ehingen GmbH</w:t>
      </w:r>
    </w:p>
    <w:p w14:paraId="04B7FD80" w14:textId="148A66CD" w:rsidR="005736C5" w:rsidRPr="00A661AF" w:rsidRDefault="005736C5" w:rsidP="00BB7570">
      <w:pPr>
        <w:pStyle w:val="BoilerplateCopytext9Pt"/>
      </w:pPr>
      <w:r>
        <w:t>Liebherr-Werk Ehingen GmbH es uno de los fabricantes líderes en grúas móviles y grúas sobre orugas. El abanico de grúas móviles va desde las grúas de 2 ejes y 35 toneladas hasta la grúa para cargas pesadas de 1200 toneladas de carga y un chasis de 9 ejes. Las grúas de pluma de celosía sobre accionamientos móviles o sobre orugas alcanzan capacidades de carga de hasta 3.000 toneladas. Estas grúas con sistemas de pluma universales y un amplio equipo adicional se usan en obras de construcción en todo el mundo. En la planta de Ehingen trabajan 3</w:t>
      </w:r>
      <w:r w:rsidR="0026739D">
        <w:t>8</w:t>
      </w:r>
      <w:r>
        <w:t xml:space="preserve">00 empleados. Por otra parte, un amplio servicio técnico de </w:t>
      </w:r>
      <w:r>
        <w:lastRenderedPageBreak/>
        <w:t>cobertura internacional garantiza una alta disponibilidad de grúas móviles y sobre orugas. En el año 202</w:t>
      </w:r>
      <w:r w:rsidR="0026739D">
        <w:t>1</w:t>
      </w:r>
      <w:r>
        <w:t>, el volumen de ventas de la planta de Liebhe</w:t>
      </w:r>
      <w:r w:rsidR="0026739D">
        <w:t>rr en Ehingen ascendió a los 2,3</w:t>
      </w:r>
      <w:r>
        <w:t>3 mil millones de euros</w:t>
      </w:r>
    </w:p>
    <w:p w14:paraId="7D9CB3CD" w14:textId="43D5EDE3" w:rsidR="005736C5" w:rsidRDefault="005736C5" w:rsidP="00BB7570">
      <w:pPr>
        <w:pStyle w:val="BoilerplateCopyhead9Pt"/>
      </w:pPr>
      <w:r>
        <w:t>Acerca del Grupo Liebherr</w:t>
      </w:r>
    </w:p>
    <w:p w14:paraId="7FAAB508" w14:textId="2EADD6DD" w:rsidR="005736C5" w:rsidRDefault="005736C5" w:rsidP="00BB7570">
      <w:pPr>
        <w:pStyle w:val="BoilerplateCopytext9Pt"/>
      </w:pPr>
      <w:r>
        <w:t xml:space="preserve">El </w:t>
      </w:r>
      <w:r w:rsidR="00541F46" w:rsidRPr="00541F46">
        <w:t>Grupo Liebherr es una empresa familiar de tecnología con una gama de productos muy diversa. Se trata de uno de los líderes mundiales en la fabricación de maquinaria de construcción, aunque también ofrece productos y servicios de gran calidad y orientados al uso pertenecientes a muchos otros sectores. Actualmente, el Grupo cuenta con más de 140 filiales en todos los continentes y más de 49.000 empleados. En 2021 alcanzó un volumen de negocios total consolidado superior a 11.600 millones de euros. Desde su creación en 1949 al sur de Alemania, en Kirchdorf an der Iller, el objetivo de Liebherr es sorprender a sus clientes con soluciones de primera calidad y contribuir al progreso tecnológico.</w:t>
      </w:r>
    </w:p>
    <w:p w14:paraId="014F981E" w14:textId="782E0977" w:rsidR="002978CE" w:rsidRPr="005C756D" w:rsidRDefault="0026739D" w:rsidP="005C756D">
      <w:pPr>
        <w:pStyle w:val="Copyhead11Pt"/>
      </w:pPr>
      <w:r>
        <w:t>Ima</w:t>
      </w:r>
      <w:r w:rsidR="006228BF">
        <w:t xml:space="preserve">gen </w:t>
      </w:r>
    </w:p>
    <w:p w14:paraId="034E0928" w14:textId="77777777" w:rsidR="0026739D" w:rsidRDefault="0026739D" w:rsidP="005C756D">
      <w:pPr>
        <w:pStyle w:val="Caption9Pt"/>
      </w:pPr>
      <w:r>
        <w:rPr>
          <w:noProof/>
          <w:lang w:val="de-DE" w:eastAsia="de-DE"/>
        </w:rPr>
        <w:drawing>
          <wp:inline distT="0" distB="0" distL="0" distR="0" wp14:anchorId="4A1E6B1E" wp14:editId="5DF5EEF3">
            <wp:extent cx="3783837" cy="4804756"/>
            <wp:effectExtent l="0" t="0" r="762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lr12500-1-0-hochformat-96dpi.jpg"/>
                    <pic:cNvPicPr/>
                  </pic:nvPicPr>
                  <pic:blipFill rotWithShape="1">
                    <a:blip r:embed="rId11">
                      <a:extLst>
                        <a:ext uri="{28A0092B-C50C-407E-A947-70E740481C1C}">
                          <a14:useLocalDpi xmlns:a14="http://schemas.microsoft.com/office/drawing/2010/main" val="0"/>
                        </a:ext>
                      </a:extLst>
                    </a:blip>
                    <a:srcRect t="7779" b="7625"/>
                    <a:stretch/>
                  </pic:blipFill>
                  <pic:spPr bwMode="auto">
                    <a:xfrm>
                      <a:off x="0" y="0"/>
                      <a:ext cx="3813274" cy="4842135"/>
                    </a:xfrm>
                    <a:prstGeom prst="rect">
                      <a:avLst/>
                    </a:prstGeom>
                    <a:ln>
                      <a:noFill/>
                    </a:ln>
                    <a:extLst>
                      <a:ext uri="{53640926-AAD7-44D8-BBD7-CCE9431645EC}">
                        <a14:shadowObscured xmlns:a14="http://schemas.microsoft.com/office/drawing/2010/main"/>
                      </a:ext>
                    </a:extLst>
                  </pic:spPr>
                </pic:pic>
              </a:graphicData>
            </a:graphic>
          </wp:inline>
        </w:drawing>
      </w:r>
    </w:p>
    <w:p w14:paraId="2E3AF08B" w14:textId="302E826B" w:rsidR="00ED6B42" w:rsidRDefault="002978CE" w:rsidP="005C756D">
      <w:pPr>
        <w:pStyle w:val="Caption9Pt"/>
      </w:pPr>
      <w:r>
        <w:t>La nueva LR 12500-1.0 completa la gama de grúas sobre orugas Liebherr de grandes dimensiones.</w:t>
      </w:r>
    </w:p>
    <w:p w14:paraId="262AD9B1" w14:textId="1F9FD572" w:rsidR="00BB7570" w:rsidRDefault="00BB7570">
      <w:pPr>
        <w:rPr>
          <w:rFonts w:ascii="Arial" w:eastAsiaTheme="minorHAnsi" w:hAnsi="Arial" w:cs="Times New Roman"/>
          <w:b/>
          <w:szCs w:val="18"/>
          <w:lang w:val="pt-BR" w:eastAsia="de-DE"/>
        </w:rPr>
      </w:pPr>
      <w:r>
        <w:rPr>
          <w:rFonts w:eastAsiaTheme="minorHAnsi"/>
          <w:lang w:val="pt-BR"/>
        </w:rPr>
        <w:br w:type="page"/>
      </w:r>
    </w:p>
    <w:p w14:paraId="4EBEF72D" w14:textId="77777777" w:rsidR="006228BF" w:rsidRPr="008D5060" w:rsidRDefault="006228BF" w:rsidP="005C756D">
      <w:pPr>
        <w:pStyle w:val="Copyhead11Pt"/>
        <w:rPr>
          <w:rFonts w:cs="Arial"/>
          <w:lang w:val="pt-BR"/>
        </w:rPr>
      </w:pPr>
      <w:r w:rsidRPr="008D5060">
        <w:rPr>
          <w:lang w:val="pt-BR"/>
        </w:rPr>
        <w:lastRenderedPageBreak/>
        <w:t>Persona de contacto</w:t>
      </w:r>
    </w:p>
    <w:p w14:paraId="0F1D56B6" w14:textId="77777777" w:rsidR="006228BF" w:rsidRPr="008D5060" w:rsidRDefault="006228BF" w:rsidP="006228BF">
      <w:pPr>
        <w:spacing w:after="300" w:line="300" w:lineRule="exact"/>
        <w:rPr>
          <w:rFonts w:ascii="Arial" w:eastAsia="Times New Roman" w:hAnsi="Arial" w:cs="Arial"/>
          <w:szCs w:val="18"/>
          <w:lang w:val="en-GB"/>
        </w:rPr>
      </w:pPr>
      <w:r w:rsidRPr="008D5060">
        <w:rPr>
          <w:rFonts w:ascii="Arial" w:hAnsi="Arial"/>
          <w:szCs w:val="18"/>
          <w:lang w:val="en-GB"/>
        </w:rPr>
        <w:t>Wolfgang Beringer</w:t>
      </w:r>
      <w:r w:rsidRPr="008D5060">
        <w:rPr>
          <w:rFonts w:ascii="Arial" w:hAnsi="Arial"/>
          <w:szCs w:val="18"/>
          <w:lang w:val="en-GB"/>
        </w:rPr>
        <w:br/>
        <w:t>Marketing and Communication</w:t>
      </w:r>
      <w:r w:rsidRPr="008D5060">
        <w:rPr>
          <w:rFonts w:ascii="Arial" w:hAnsi="Arial"/>
          <w:szCs w:val="18"/>
          <w:lang w:val="en-GB"/>
        </w:rPr>
        <w:br/>
        <w:t>Teléfono: +49 7391/502 - 3663</w:t>
      </w:r>
      <w:r w:rsidRPr="008D5060">
        <w:rPr>
          <w:rFonts w:ascii="Arial" w:hAnsi="Arial"/>
          <w:szCs w:val="18"/>
          <w:lang w:val="en-GB"/>
        </w:rPr>
        <w:br/>
        <w:t>Correo electrónico: wolfgang.beringer@liebherr.com</w:t>
      </w:r>
    </w:p>
    <w:p w14:paraId="73944407" w14:textId="77777777" w:rsidR="006228BF" w:rsidRPr="003F05D1" w:rsidRDefault="006228BF" w:rsidP="005C756D">
      <w:pPr>
        <w:pStyle w:val="Copyhead11Pt"/>
        <w:rPr>
          <w:lang w:val="de-DE"/>
        </w:rPr>
      </w:pPr>
      <w:r w:rsidRPr="003F05D1">
        <w:rPr>
          <w:lang w:val="de-DE"/>
        </w:rPr>
        <w:t>Publicado por</w:t>
      </w:r>
    </w:p>
    <w:p w14:paraId="1A02BE6D" w14:textId="77777777" w:rsidR="006228BF" w:rsidRPr="003F05D1" w:rsidRDefault="006228BF" w:rsidP="0088513F">
      <w:pPr>
        <w:spacing w:after="300" w:line="300" w:lineRule="exact"/>
        <w:rPr>
          <w:rFonts w:ascii="Arial" w:eastAsia="Times New Roman" w:hAnsi="Arial" w:cs="Arial"/>
          <w:szCs w:val="18"/>
          <w:lang w:val="de-DE"/>
        </w:rPr>
      </w:pPr>
      <w:r w:rsidRPr="003F05D1">
        <w:rPr>
          <w:rFonts w:ascii="Arial" w:hAnsi="Arial"/>
          <w:szCs w:val="18"/>
          <w:lang w:val="de-DE"/>
        </w:rPr>
        <w:t xml:space="preserve">Liebherr-Werk Ehingen GmbH </w:t>
      </w:r>
      <w:r w:rsidRPr="003F05D1">
        <w:rPr>
          <w:rFonts w:ascii="Arial" w:hAnsi="Arial"/>
          <w:szCs w:val="18"/>
          <w:lang w:val="de-DE"/>
        </w:rPr>
        <w:br/>
        <w:t>Ehingen (Donau) / Alemania</w:t>
      </w:r>
      <w:r w:rsidRPr="003F05D1">
        <w:rPr>
          <w:rFonts w:ascii="Arial" w:hAnsi="Arial"/>
          <w:szCs w:val="18"/>
          <w:lang w:val="de-DE"/>
        </w:rPr>
        <w:br/>
        <w:t>www.liebherr.com</w:t>
      </w:r>
    </w:p>
    <w:sectPr w:rsidR="006228BF" w:rsidRPr="003F05D1"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744362" w14:textId="77777777" w:rsidR="00855D75" w:rsidRDefault="00855D75" w:rsidP="00B81ED6">
      <w:pPr>
        <w:spacing w:after="0" w:line="240" w:lineRule="auto"/>
      </w:pPr>
      <w:r>
        <w:separator/>
      </w:r>
    </w:p>
  </w:endnote>
  <w:endnote w:type="continuationSeparator" w:id="0">
    <w:p w14:paraId="45CCFC66" w14:textId="77777777" w:rsidR="00855D75" w:rsidRDefault="00855D75"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C22239" w14:textId="4B251BC5"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751F1">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751F1">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751F1">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9751F1">
      <w:rPr>
        <w:rFonts w:ascii="Arial" w:hAnsi="Arial" w:cs="Arial"/>
      </w:rPr>
      <w:fldChar w:fldCharType="separate"/>
    </w:r>
    <w:r w:rsidR="009751F1">
      <w:rPr>
        <w:rFonts w:ascii="Arial" w:hAnsi="Arial" w:cs="Arial"/>
        <w:noProof/>
      </w:rPr>
      <w:t>2</w:t>
    </w:r>
    <w:r w:rsidR="009751F1" w:rsidRPr="0093605C">
      <w:rPr>
        <w:rFonts w:ascii="Arial" w:hAnsi="Arial" w:cs="Arial"/>
        <w:noProof/>
      </w:rPr>
      <w:t>/</w:t>
    </w:r>
    <w:r w:rsidR="009751F1">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501511" w14:textId="77777777" w:rsidR="00855D75" w:rsidRDefault="00855D75" w:rsidP="00B81ED6">
      <w:pPr>
        <w:spacing w:after="0" w:line="240" w:lineRule="auto"/>
      </w:pPr>
      <w:r>
        <w:separator/>
      </w:r>
    </w:p>
  </w:footnote>
  <w:footnote w:type="continuationSeparator" w:id="0">
    <w:p w14:paraId="69FF8131" w14:textId="77777777" w:rsidR="00855D75" w:rsidRDefault="00855D75"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4EDA6A" w14:textId="77777777" w:rsidR="00E847CC" w:rsidRDefault="00E847CC">
    <w:pPr>
      <w:pStyle w:val="Kopfzeile"/>
    </w:pPr>
    <w:r>
      <w:tab/>
    </w:r>
    <w:r>
      <w:tab/>
    </w:r>
    <w:r>
      <w:ptab w:relativeTo="margin" w:alignment="right" w:leader="none"/>
    </w:r>
    <w:r>
      <w:rPr>
        <w:noProof/>
        <w:lang w:val="de-DE" w:eastAsia="de-DE"/>
      </w:rPr>
      <w:drawing>
        <wp:inline distT="0" distB="0" distL="0" distR="0" wp14:anchorId="5357D5DB" wp14:editId="6BB408A6">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711DF8FC"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457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50BD"/>
    <w:rsid w:val="0002277D"/>
    <w:rsid w:val="00031972"/>
    <w:rsid w:val="00033002"/>
    <w:rsid w:val="000554FD"/>
    <w:rsid w:val="000579DD"/>
    <w:rsid w:val="00066E4A"/>
    <w:rsid w:val="00066E54"/>
    <w:rsid w:val="0007556A"/>
    <w:rsid w:val="0007795A"/>
    <w:rsid w:val="000A361C"/>
    <w:rsid w:val="000A377A"/>
    <w:rsid w:val="000A417D"/>
    <w:rsid w:val="000E3C3F"/>
    <w:rsid w:val="000F1E4A"/>
    <w:rsid w:val="000F2D4D"/>
    <w:rsid w:val="000F30A0"/>
    <w:rsid w:val="000F4A8C"/>
    <w:rsid w:val="000F61BA"/>
    <w:rsid w:val="00104424"/>
    <w:rsid w:val="00104ECF"/>
    <w:rsid w:val="001409C5"/>
    <w:rsid w:val="001419B4"/>
    <w:rsid w:val="00145433"/>
    <w:rsid w:val="00145DB7"/>
    <w:rsid w:val="0015229F"/>
    <w:rsid w:val="00175B0E"/>
    <w:rsid w:val="0019065F"/>
    <w:rsid w:val="001A1AD7"/>
    <w:rsid w:val="001A41B8"/>
    <w:rsid w:val="001F12A6"/>
    <w:rsid w:val="001F1DE8"/>
    <w:rsid w:val="001F45B5"/>
    <w:rsid w:val="002065EA"/>
    <w:rsid w:val="002219FD"/>
    <w:rsid w:val="002269D9"/>
    <w:rsid w:val="00227688"/>
    <w:rsid w:val="002356D9"/>
    <w:rsid w:val="00247430"/>
    <w:rsid w:val="0026739D"/>
    <w:rsid w:val="002978CE"/>
    <w:rsid w:val="002A2DDF"/>
    <w:rsid w:val="002A393E"/>
    <w:rsid w:val="002A5C57"/>
    <w:rsid w:val="002B6DAF"/>
    <w:rsid w:val="002D715F"/>
    <w:rsid w:val="002E3813"/>
    <w:rsid w:val="00310F43"/>
    <w:rsid w:val="00316C2B"/>
    <w:rsid w:val="00327624"/>
    <w:rsid w:val="00340035"/>
    <w:rsid w:val="0034272E"/>
    <w:rsid w:val="003524D2"/>
    <w:rsid w:val="00356BD8"/>
    <w:rsid w:val="00381DB5"/>
    <w:rsid w:val="003936A6"/>
    <w:rsid w:val="003A7927"/>
    <w:rsid w:val="003D2D66"/>
    <w:rsid w:val="003E18DA"/>
    <w:rsid w:val="003F05D1"/>
    <w:rsid w:val="004001F6"/>
    <w:rsid w:val="00410148"/>
    <w:rsid w:val="00415960"/>
    <w:rsid w:val="00424A81"/>
    <w:rsid w:val="00427A4E"/>
    <w:rsid w:val="004541C1"/>
    <w:rsid w:val="00456D10"/>
    <w:rsid w:val="00466A15"/>
    <w:rsid w:val="00482714"/>
    <w:rsid w:val="004E1143"/>
    <w:rsid w:val="004E74AF"/>
    <w:rsid w:val="00500788"/>
    <w:rsid w:val="00541F46"/>
    <w:rsid w:val="00556698"/>
    <w:rsid w:val="005736C5"/>
    <w:rsid w:val="00575333"/>
    <w:rsid w:val="005805A1"/>
    <w:rsid w:val="005811D9"/>
    <w:rsid w:val="00583D52"/>
    <w:rsid w:val="005B0F27"/>
    <w:rsid w:val="005B39F0"/>
    <w:rsid w:val="005C756D"/>
    <w:rsid w:val="005D51EB"/>
    <w:rsid w:val="00620944"/>
    <w:rsid w:val="006228BF"/>
    <w:rsid w:val="00631B86"/>
    <w:rsid w:val="00652E53"/>
    <w:rsid w:val="00663F7D"/>
    <w:rsid w:val="006B57D2"/>
    <w:rsid w:val="006E7EEF"/>
    <w:rsid w:val="006F0A7D"/>
    <w:rsid w:val="006F4B04"/>
    <w:rsid w:val="0070516B"/>
    <w:rsid w:val="0070698F"/>
    <w:rsid w:val="00735FD6"/>
    <w:rsid w:val="00747169"/>
    <w:rsid w:val="007511BF"/>
    <w:rsid w:val="00754EFC"/>
    <w:rsid w:val="00756746"/>
    <w:rsid w:val="00761197"/>
    <w:rsid w:val="007620D3"/>
    <w:rsid w:val="00783E18"/>
    <w:rsid w:val="007C2DD9"/>
    <w:rsid w:val="007C5BBE"/>
    <w:rsid w:val="007F2586"/>
    <w:rsid w:val="008127C3"/>
    <w:rsid w:val="00812A8E"/>
    <w:rsid w:val="008161E4"/>
    <w:rsid w:val="0082320F"/>
    <w:rsid w:val="0082341B"/>
    <w:rsid w:val="00824226"/>
    <w:rsid w:val="00827B5A"/>
    <w:rsid w:val="00830478"/>
    <w:rsid w:val="00830DFA"/>
    <w:rsid w:val="00831A4B"/>
    <w:rsid w:val="00855D75"/>
    <w:rsid w:val="00871E97"/>
    <w:rsid w:val="00877A3F"/>
    <w:rsid w:val="0088513F"/>
    <w:rsid w:val="008965F2"/>
    <w:rsid w:val="008C61CC"/>
    <w:rsid w:val="008D04AB"/>
    <w:rsid w:val="008D5060"/>
    <w:rsid w:val="008F0D4D"/>
    <w:rsid w:val="008F7115"/>
    <w:rsid w:val="009029E6"/>
    <w:rsid w:val="00911860"/>
    <w:rsid w:val="009119F4"/>
    <w:rsid w:val="009169F9"/>
    <w:rsid w:val="0093605C"/>
    <w:rsid w:val="009376A6"/>
    <w:rsid w:val="00965077"/>
    <w:rsid w:val="00966EAC"/>
    <w:rsid w:val="009751F1"/>
    <w:rsid w:val="00986FB0"/>
    <w:rsid w:val="009A35E1"/>
    <w:rsid w:val="009A3D17"/>
    <w:rsid w:val="009A70FA"/>
    <w:rsid w:val="009B052F"/>
    <w:rsid w:val="009B5053"/>
    <w:rsid w:val="009D5250"/>
    <w:rsid w:val="009D62B8"/>
    <w:rsid w:val="009E27D6"/>
    <w:rsid w:val="009E5948"/>
    <w:rsid w:val="00A55BCD"/>
    <w:rsid w:val="00A76FDC"/>
    <w:rsid w:val="00A94A9E"/>
    <w:rsid w:val="00AA2DE5"/>
    <w:rsid w:val="00AC10D4"/>
    <w:rsid w:val="00AC2129"/>
    <w:rsid w:val="00AC5894"/>
    <w:rsid w:val="00AD25BD"/>
    <w:rsid w:val="00AD55ED"/>
    <w:rsid w:val="00AF1F99"/>
    <w:rsid w:val="00AF340D"/>
    <w:rsid w:val="00B63EFA"/>
    <w:rsid w:val="00B81ED6"/>
    <w:rsid w:val="00B86F61"/>
    <w:rsid w:val="00B90F08"/>
    <w:rsid w:val="00B92B64"/>
    <w:rsid w:val="00BB0064"/>
    <w:rsid w:val="00BB0BFF"/>
    <w:rsid w:val="00BB3BC7"/>
    <w:rsid w:val="00BB7570"/>
    <w:rsid w:val="00BC308E"/>
    <w:rsid w:val="00BC3504"/>
    <w:rsid w:val="00BD7045"/>
    <w:rsid w:val="00BF04E8"/>
    <w:rsid w:val="00C03167"/>
    <w:rsid w:val="00C037E9"/>
    <w:rsid w:val="00C262E0"/>
    <w:rsid w:val="00C2767C"/>
    <w:rsid w:val="00C35928"/>
    <w:rsid w:val="00C449ED"/>
    <w:rsid w:val="00C464EC"/>
    <w:rsid w:val="00C64440"/>
    <w:rsid w:val="00C7271F"/>
    <w:rsid w:val="00C77574"/>
    <w:rsid w:val="00C90922"/>
    <w:rsid w:val="00CA3D22"/>
    <w:rsid w:val="00CB5E06"/>
    <w:rsid w:val="00CB61F0"/>
    <w:rsid w:val="00CD175D"/>
    <w:rsid w:val="00CF75FD"/>
    <w:rsid w:val="00D23C66"/>
    <w:rsid w:val="00D42698"/>
    <w:rsid w:val="00D63B50"/>
    <w:rsid w:val="00D7274F"/>
    <w:rsid w:val="00D93257"/>
    <w:rsid w:val="00DC173B"/>
    <w:rsid w:val="00DD4238"/>
    <w:rsid w:val="00DF40C0"/>
    <w:rsid w:val="00E260E6"/>
    <w:rsid w:val="00E32363"/>
    <w:rsid w:val="00E46015"/>
    <w:rsid w:val="00E563BC"/>
    <w:rsid w:val="00E66D50"/>
    <w:rsid w:val="00E74668"/>
    <w:rsid w:val="00E746BA"/>
    <w:rsid w:val="00E847CC"/>
    <w:rsid w:val="00E87E97"/>
    <w:rsid w:val="00EA26F3"/>
    <w:rsid w:val="00EB78AF"/>
    <w:rsid w:val="00EC3FCB"/>
    <w:rsid w:val="00EC50AD"/>
    <w:rsid w:val="00ED6B42"/>
    <w:rsid w:val="00F03786"/>
    <w:rsid w:val="00F274B4"/>
    <w:rsid w:val="00F30B7E"/>
    <w:rsid w:val="00F429FB"/>
    <w:rsid w:val="00F442EA"/>
    <w:rsid w:val="00F65873"/>
    <w:rsid w:val="00F7631D"/>
    <w:rsid w:val="00F81B6B"/>
    <w:rsid w:val="00F83B9E"/>
    <w:rsid w:val="00F976BB"/>
    <w:rsid w:val="00FB2A30"/>
    <w:rsid w:val="00FB4D89"/>
    <w:rsid w:val="00FD2FA2"/>
    <w:rsid w:val="00FD5472"/>
    <w:rsid w:val="00FF081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096AB4B8"/>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E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s-ES"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s-E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s-ES" w:eastAsia="de-DE"/>
    </w:rPr>
  </w:style>
  <w:style w:type="character" w:customStyle="1" w:styleId="Teaser11PtZchn">
    <w:name w:val="Teaser 11Pt Zchn"/>
    <w:basedOn w:val="Absatz-Standardschriftart"/>
    <w:link w:val="Teaser11Pt"/>
    <w:rsid w:val="00B81ED6"/>
    <w:rPr>
      <w:rFonts w:ascii="Arial" w:hAnsi="Arial"/>
      <w:b/>
      <w:noProof/>
      <w:lang w:val="es-E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s-E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s-E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s-E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82320F"/>
    <w:rPr>
      <w:sz w:val="16"/>
      <w:szCs w:val="16"/>
    </w:rPr>
  </w:style>
  <w:style w:type="paragraph" w:styleId="Kommentartext">
    <w:name w:val="annotation text"/>
    <w:basedOn w:val="Standard"/>
    <w:link w:val="KommentartextZchn"/>
    <w:uiPriority w:val="99"/>
    <w:semiHidden/>
    <w:unhideWhenUsed/>
    <w:rsid w:val="0082320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2320F"/>
    <w:rPr>
      <w:sz w:val="20"/>
      <w:szCs w:val="20"/>
    </w:rPr>
  </w:style>
  <w:style w:type="paragraph" w:styleId="Kommentarthema">
    <w:name w:val="annotation subject"/>
    <w:basedOn w:val="Kommentartext"/>
    <w:next w:val="Kommentartext"/>
    <w:link w:val="KommentarthemaZchn"/>
    <w:uiPriority w:val="99"/>
    <w:semiHidden/>
    <w:unhideWhenUsed/>
    <w:rsid w:val="0082320F"/>
    <w:rPr>
      <w:b/>
      <w:bCs/>
    </w:rPr>
  </w:style>
  <w:style w:type="character" w:customStyle="1" w:styleId="KommentarthemaZchn">
    <w:name w:val="Kommentarthema Zchn"/>
    <w:basedOn w:val="KommentartextZchn"/>
    <w:link w:val="Kommentarthema"/>
    <w:uiPriority w:val="99"/>
    <w:semiHidden/>
    <w:rsid w:val="0082320F"/>
    <w:rPr>
      <w:b/>
      <w:bCs/>
      <w:sz w:val="20"/>
      <w:szCs w:val="20"/>
    </w:rPr>
  </w:style>
  <w:style w:type="paragraph" w:styleId="Sprechblasentext">
    <w:name w:val="Balloon Text"/>
    <w:basedOn w:val="Standard"/>
    <w:link w:val="SprechblasentextZchn"/>
    <w:uiPriority w:val="99"/>
    <w:semiHidden/>
    <w:unhideWhenUsed/>
    <w:rsid w:val="0082320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2320F"/>
    <w:rPr>
      <w:rFonts w:ascii="Segoe UI" w:hAnsi="Segoe UI" w:cs="Segoe UI"/>
      <w:sz w:val="18"/>
      <w:szCs w:val="18"/>
    </w:rPr>
  </w:style>
  <w:style w:type="paragraph" w:customStyle="1" w:styleId="LHbase-type11ptbold">
    <w:name w:val="LH_base-type 11pt bold"/>
    <w:basedOn w:val="LHbase-type11ptregular"/>
    <w:qFormat/>
    <w:rsid w:val="005736C5"/>
    <w:rPr>
      <w:b/>
    </w:rPr>
  </w:style>
  <w:style w:type="paragraph" w:customStyle="1" w:styleId="LHbase-type11ptregular">
    <w:name w:val="LH_base-type 11pt regular"/>
    <w:qFormat/>
    <w:rsid w:val="005736C5"/>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berarbeitung">
    <w:name w:val="Revision"/>
    <w:hidden/>
    <w:uiPriority w:val="99"/>
    <w:semiHidden/>
    <w:rsid w:val="003F05D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8489567">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935D97-965F-485F-B765-E95F091059C4}">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511DEE61-A114-442F-91C2-992357CD0E08}">
  <ds:schemaRefs>
    <ds:schemaRef ds:uri="http://schemas.microsoft.com/sharepoint/v3/contenttype/forms"/>
  </ds:schemaRefs>
</ds:datastoreItem>
</file>

<file path=customXml/itemProps3.xml><?xml version="1.0" encoding="utf-8"?>
<ds:datastoreItem xmlns:ds="http://schemas.openxmlformats.org/officeDocument/2006/customXml" ds:itemID="{91B4571C-4456-453A-B35F-6414B49E7F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2E1B8B92-7A31-4989-AFE2-19DB6A7F5A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917</Words>
  <Characters>5782</Characters>
  <Application>Microsoft Office Word</Application>
  <DocSecurity>0</DocSecurity>
  <Lines>48</Lines>
  <Paragraphs>13</Paragraphs>
  <ScaleCrop>false</ScaleCrop>
  <HeadingPairs>
    <vt:vector size="4" baseType="variant">
      <vt:variant>
        <vt:lpstr>Titel</vt:lpstr>
      </vt:variant>
      <vt:variant>
        <vt:i4>1</vt:i4>
      </vt:variant>
      <vt:variant>
        <vt:lpstr>Título</vt:lpstr>
      </vt:variant>
      <vt:variant>
        <vt:i4>1</vt:i4>
      </vt:variant>
    </vt:vector>
  </HeadingPairs>
  <TitlesOfParts>
    <vt:vector size="2" baseType="lpstr">
      <vt:lpstr>Headlin</vt:lpstr>
      <vt:lpstr>Headlin</vt:lpstr>
    </vt:vector>
  </TitlesOfParts>
  <Company>Liebherr</Company>
  <LinksUpToDate>false</LinksUpToDate>
  <CharactersWithSpaces>6686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9</cp:revision>
  <cp:lastPrinted>2022-02-04T06:45:00Z</cp:lastPrinted>
  <dcterms:created xsi:type="dcterms:W3CDTF">2022-03-23T06:41:00Z</dcterms:created>
  <dcterms:modified xsi:type="dcterms:W3CDTF">2022-04-07T06:34:00Z</dcterms:modified>
  <cp:category>Presseinformation</cp:category>
</cp:coreProperties>
</file>