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2CCA1E" w14:textId="77777777" w:rsidR="00B81ED6" w:rsidRDefault="00B81ED6" w:rsidP="00033002">
      <w:pPr>
        <w:pStyle w:val="TitleLogotoprightLH"/>
        <w:framePr w:h="1021" w:hRule="exact" w:wrap="notBeside"/>
      </w:pPr>
      <w:r>
        <w:rPr>
          <w:noProof/>
          <w:lang w:val="de-DE" w:eastAsia="de-DE"/>
        </w:rPr>
        <w:drawing>
          <wp:inline distT="0" distB="0" distL="0" distR="0" wp14:anchorId="7C57ECE1" wp14:editId="54276999">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7E26032" w14:textId="77777777" w:rsidR="000830B6" w:rsidRPr="00891265" w:rsidRDefault="000830B6" w:rsidP="0071394B">
      <w:pPr>
        <w:pStyle w:val="Topline16"/>
      </w:pPr>
      <w:r w:rsidRPr="00891265">
        <w:t>Communiqué de presse</w:t>
      </w:r>
    </w:p>
    <w:p w14:paraId="722BA6E3" w14:textId="2DF53F72" w:rsidR="00C52BD5" w:rsidRPr="000830B6" w:rsidRDefault="00E96CC1" w:rsidP="00891265">
      <w:pPr>
        <w:pStyle w:val="Titel"/>
      </w:pPr>
      <w:r>
        <w:t>Basée sur l’expérience, conçue pour le futur</w:t>
      </w:r>
      <w:r w:rsidR="003A2D2B">
        <w:t> : la grue mobile Liebherr LTM </w:t>
      </w:r>
      <w:r w:rsidR="000830B6" w:rsidRPr="000830B6">
        <w:t>1110-5.2</w:t>
      </w:r>
    </w:p>
    <w:p w14:paraId="0FAE3706"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29818BAA" w14:textId="77777777" w:rsidR="00B81ED6" w:rsidRPr="006F4AAC" w:rsidRDefault="00CC0F04" w:rsidP="00B81ED6">
      <w:pPr>
        <w:pStyle w:val="Bulletpoints11Pt"/>
      </w:pPr>
      <w:r>
        <w:t>Avec la LTM 1110-5.2, Liebherr présente la 3ème génération de commande de grue LICCON</w:t>
      </w:r>
    </w:p>
    <w:p w14:paraId="69D7D238" w14:textId="169FD470" w:rsidR="00CE2BDE" w:rsidRDefault="00CC0F04" w:rsidP="008C7AF7">
      <w:pPr>
        <w:pStyle w:val="Bulletpoints11Pt"/>
      </w:pPr>
      <w:r>
        <w:t xml:space="preserve">La nouvelle cabine du grutier arbore un design ultra moderne, </w:t>
      </w:r>
      <w:r w:rsidR="00E96CC1">
        <w:t xml:space="preserve">associant </w:t>
      </w:r>
      <w:r>
        <w:t>ergonomie et confort.</w:t>
      </w:r>
    </w:p>
    <w:p w14:paraId="17A8A9E7" w14:textId="015403AB" w:rsidR="00AC59BB" w:rsidRPr="00CE2BDE" w:rsidRDefault="00E96CC1" w:rsidP="004D5CF0">
      <w:pPr>
        <w:pStyle w:val="Bulletpoints11Pt"/>
      </w:pPr>
      <w:r>
        <w:t>Une man</w:t>
      </w:r>
      <w:r w:rsidR="00AE7D61">
        <w:t>œuvr</w:t>
      </w:r>
      <w:r>
        <w:t>abilité plus fluide grâce à</w:t>
      </w:r>
      <w:r w:rsidR="00AE7D61">
        <w:t xml:space="preserve"> la </w:t>
      </w:r>
      <w:proofErr w:type="spellStart"/>
      <w:r w:rsidR="00AE7D61">
        <w:t>transmissionTraXon</w:t>
      </w:r>
      <w:proofErr w:type="spellEnd"/>
      <w:r w:rsidR="00AE7D61">
        <w:t xml:space="preserve"> </w:t>
      </w:r>
      <w:proofErr w:type="spellStart"/>
      <w:r w:rsidR="00AE7D61">
        <w:t>DynamicPerform</w:t>
      </w:r>
      <w:proofErr w:type="spellEnd"/>
      <w:r w:rsidR="00AE7D61">
        <w:t xml:space="preserve"> </w:t>
      </w:r>
    </w:p>
    <w:p w14:paraId="3C8ACA8D" w14:textId="57B4151C" w:rsidR="00BF7293" w:rsidRDefault="00E96CC1" w:rsidP="00B81ED6">
      <w:pPr>
        <w:pStyle w:val="Teaser11Pt"/>
      </w:pPr>
      <w:r>
        <w:t xml:space="preserve">3 raisons pour passer de </w:t>
      </w:r>
      <w:r w:rsidR="00BF7293">
        <w:t xml:space="preserve">1 </w:t>
      </w:r>
      <w:r>
        <w:t xml:space="preserve"> à 2 : </w:t>
      </w:r>
      <w:r w:rsidR="00BF7293">
        <w:t xml:space="preserve"> La grue mobile Liebherr LTM 1110-5.1 devient la LTM 1110-5.2 </w:t>
      </w:r>
      <w:r>
        <w:t xml:space="preserve">grâce à </w:t>
      </w:r>
      <w:r w:rsidR="00BF7293">
        <w:t xml:space="preserve">3 </w:t>
      </w:r>
      <w:r>
        <w:t xml:space="preserve">nouvelles </w:t>
      </w:r>
      <w:r w:rsidR="00BF7293">
        <w:t>caractéristiques</w:t>
      </w:r>
      <w:r w:rsidR="00C21541">
        <w:t xml:space="preserve"> </w:t>
      </w:r>
      <w:r>
        <w:t xml:space="preserve">: </w:t>
      </w:r>
      <w:r w:rsidR="00BF7293">
        <w:t xml:space="preserve"> la commande de la grue, la cabine </w:t>
      </w:r>
      <w:r w:rsidR="00120B12">
        <w:t>de conduite</w:t>
      </w:r>
      <w:r w:rsidR="00BF7293">
        <w:t xml:space="preserve"> et la transmission. La grue Liebherr de 110 tonnes présentée sur la Bauma est équipée d</w:t>
      </w:r>
      <w:r>
        <w:t xml:space="preserve">e la nouvelle cabine </w:t>
      </w:r>
      <w:r w:rsidR="00120B12">
        <w:t>de conduite</w:t>
      </w:r>
      <w:r>
        <w:t>, dont le prot</w:t>
      </w:r>
      <w:r w:rsidR="00BF7293">
        <w:t xml:space="preserve">otype </w:t>
      </w:r>
      <w:r>
        <w:t xml:space="preserve">était égelement exposé à </w:t>
      </w:r>
      <w:r w:rsidR="00BF7293">
        <w:t xml:space="preserve">la Bauma, de la </w:t>
      </w:r>
      <w:r>
        <w:t xml:space="preserve">dernière génération de </w:t>
      </w:r>
      <w:r w:rsidR="00BF7293">
        <w:t xml:space="preserve">commande de grue LICCON3, ainsi que de la  transmission ZF TraXon DynamicPerform. </w:t>
      </w:r>
      <w:r w:rsidR="00A5299C">
        <w:t>Le nouvel e</w:t>
      </w:r>
      <w:r w:rsidRPr="00E96CC1">
        <w:t>mbrayage multidisque refroidi par huile</w:t>
      </w:r>
      <w:r w:rsidR="00BF7293">
        <w:t xml:space="preserve">, </w:t>
      </w:r>
      <w:r w:rsidR="00A5299C">
        <w:t xml:space="preserve">testé de façon </w:t>
      </w:r>
      <w:r w:rsidR="00BF7293">
        <w:t>intens</w:t>
      </w:r>
      <w:r w:rsidR="00A5299C">
        <w:t xml:space="preserve">ive </w:t>
      </w:r>
      <w:r w:rsidR="00BF7293">
        <w:t xml:space="preserve">est </w:t>
      </w:r>
      <w:r w:rsidR="00A5299C">
        <w:t xml:space="preserve">désormais </w:t>
      </w:r>
      <w:r w:rsidR="00BF7293">
        <w:t xml:space="preserve">prêt pour la production en série. La nouvelle LTM 1110-5.2 </w:t>
      </w:r>
      <w:r w:rsidR="00A5299C">
        <w:t xml:space="preserve"> allie</w:t>
      </w:r>
      <w:r w:rsidR="00BF7293">
        <w:t xml:space="preserve"> ainsi les anciens points forts et les innovations de pointe pour une plus grande sécurité et plus de confort. Outre ces innovations, Liebherr présente un design de grue entièrement nouveau de série, précurseur pour la </w:t>
      </w:r>
      <w:r w:rsidR="00A5299C">
        <w:t>gamme</w:t>
      </w:r>
      <w:r w:rsidR="00BF7293">
        <w:t xml:space="preserve"> tout-terrain.</w:t>
      </w:r>
    </w:p>
    <w:p w14:paraId="33894F93" w14:textId="6A9B352C" w:rsidR="001B6E1B" w:rsidRDefault="00B81ED6" w:rsidP="001B6E1B">
      <w:pPr>
        <w:pStyle w:val="Copytext11Pt"/>
      </w:pPr>
      <w:proofErr w:type="spellStart"/>
      <w:r>
        <w:t>Ehingen</w:t>
      </w:r>
      <w:proofErr w:type="spellEnd"/>
      <w:r>
        <w:t xml:space="preserve"> (</w:t>
      </w:r>
      <w:proofErr w:type="spellStart"/>
      <w:r>
        <w:t>Donau</w:t>
      </w:r>
      <w:proofErr w:type="spellEnd"/>
      <w:r>
        <w:t xml:space="preserve">) (Allemagne), </w:t>
      </w:r>
      <w:r w:rsidR="00C21541" w:rsidRPr="00C21541">
        <w:t>25 novembre 2021</w:t>
      </w:r>
      <w:r w:rsidR="00C21541">
        <w:t xml:space="preserve"> </w:t>
      </w:r>
      <w:r w:rsidR="005C1EDC">
        <w:t>–</w:t>
      </w:r>
      <w:r>
        <w:t xml:space="preserve"> Avec sa</w:t>
      </w:r>
      <w:r w:rsidR="00A5299C" w:rsidRPr="00A5299C">
        <w:t xml:space="preserve"> </w:t>
      </w:r>
      <w:r w:rsidR="00A5299C">
        <w:t>puissante</w:t>
      </w:r>
      <w:r>
        <w:t xml:space="preserve"> flèche télescopique de 60 mètres de long, ainsi que des charges d’essieux variables pour une mobilité ma</w:t>
      </w:r>
      <w:r w:rsidR="00120B12">
        <w:t xml:space="preserve">ximale dans le monde entier, </w:t>
      </w:r>
      <w:proofErr w:type="gramStart"/>
      <w:r w:rsidR="00120B12">
        <w:t xml:space="preserve">la </w:t>
      </w:r>
      <w:r>
        <w:t>10 tonnes</w:t>
      </w:r>
      <w:proofErr w:type="gramEnd"/>
      <w:r>
        <w:t xml:space="preserve"> à 5 essieux de Liebherr est un véritable succès. Mais les points forts se voient encore optimisés, car tout devient plus simple, plus sûr et plus confortable. </w:t>
      </w:r>
    </w:p>
    <w:p w14:paraId="35BE97C4" w14:textId="77777777" w:rsidR="001B6E1B" w:rsidRDefault="001B6E1B" w:rsidP="00891265">
      <w:pPr>
        <w:pStyle w:val="Copyhead11Pt"/>
      </w:pPr>
      <w:r>
        <w:t>La commande de grue LICCON3</w:t>
      </w:r>
    </w:p>
    <w:p w14:paraId="6BD0FA1D" w14:textId="5FA24D0C" w:rsidR="001B6E1B" w:rsidRDefault="00DA5597" w:rsidP="001B6E1B">
      <w:pPr>
        <w:pStyle w:val="Copytext11Pt"/>
      </w:pPr>
      <w:r>
        <w:t xml:space="preserve">La troisième génération de commande LICCON (Liebherr </w:t>
      </w:r>
      <w:proofErr w:type="spellStart"/>
      <w:r>
        <w:t>Computed</w:t>
      </w:r>
      <w:proofErr w:type="spellEnd"/>
      <w:r>
        <w:t xml:space="preserve"> Control) </w:t>
      </w:r>
      <w:r w:rsidR="00A5299C">
        <w:t>b</w:t>
      </w:r>
      <w:r>
        <w:t>as</w:t>
      </w:r>
      <w:r w:rsidR="00A5299C">
        <w:t>é</w:t>
      </w:r>
      <w:r>
        <w:t xml:space="preserve">e sur une commande </w:t>
      </w:r>
      <w:r w:rsidR="00A56081">
        <w:t xml:space="preserve">testée et </w:t>
      </w:r>
      <w:r>
        <w:t xml:space="preserve">éprouvée, </w:t>
      </w:r>
      <w:r w:rsidR="00A5299C">
        <w:t xml:space="preserve">propose </w:t>
      </w:r>
      <w:r>
        <w:t xml:space="preserve">cependant un logiciel et un langage de programmation entièrement neufs, ainsi qu’un bus de données plus rapide, un espace de stockage nettement plus grand et une puissance de calcul plus importante. Nikolaus </w:t>
      </w:r>
      <w:proofErr w:type="spellStart"/>
      <w:r>
        <w:t>Münch</w:t>
      </w:r>
      <w:proofErr w:type="spellEnd"/>
      <w:r>
        <w:t xml:space="preserve">, responsable du département Commande chez Liebherr à </w:t>
      </w:r>
      <w:proofErr w:type="spellStart"/>
      <w:r>
        <w:t>Ehingen</w:t>
      </w:r>
      <w:proofErr w:type="spellEnd"/>
      <w:r>
        <w:t xml:space="preserve">, explique : « Lors du développement de la nouvelle commande, il était important pour nous que les grutiers, qui connaissent bien les grues Liebherr, se familiarisent rapidement et sans problème avec la nouvelle commande. En même temps, nous nous devons d’être précurseurs, puisque les progrès en matière de microélectronique sont immenses. Des applications complexes comme par exemple </w:t>
      </w:r>
      <w:proofErr w:type="spellStart"/>
      <w:r>
        <w:t>VarioBase</w:t>
      </w:r>
      <w:proofErr w:type="spellEnd"/>
      <w:r>
        <w:rPr>
          <w:vertAlign w:val="superscript"/>
        </w:rPr>
        <w:t>®</w:t>
      </w:r>
      <w:r>
        <w:t xml:space="preserve">, qui nécessitent des </w:t>
      </w:r>
      <w:r w:rsidR="00A5299C">
        <w:t xml:space="preserve">calculs de </w:t>
      </w:r>
      <w:r>
        <w:t xml:space="preserve">données élevés, seront développées plus souvent à l’avenir. La commande actuelle LICCON2 </w:t>
      </w:r>
      <w:r w:rsidR="00A5299C">
        <w:t xml:space="preserve">atteint </w:t>
      </w:r>
      <w:r>
        <w:t xml:space="preserve">ses limites. » </w:t>
      </w:r>
    </w:p>
    <w:p w14:paraId="4B18286A" w14:textId="63BAAB8A" w:rsidR="007A1026" w:rsidRDefault="007A1026" w:rsidP="007A1026">
      <w:pPr>
        <w:pStyle w:val="Copytext11Pt"/>
      </w:pPr>
      <w:r>
        <w:t xml:space="preserve">La </w:t>
      </w:r>
      <w:r w:rsidR="00A5299C">
        <w:t>ressemblance</w:t>
      </w:r>
      <w:r>
        <w:t xml:space="preserve"> avec l’ancienne commande est très importante. Des composants de matériel éprouvés comme par exemple le terminal de commande à distance BTT ont été intégrés. Grâce à la fonction </w:t>
      </w:r>
      <w:r>
        <w:lastRenderedPageBreak/>
        <w:t xml:space="preserve">tactile sur le nouveau grand écran dans la cabine de grue, l’utilisation est maintenant devenue encore plus simple et plus confortable. L’agencement des affichages a été revisité et simplifié. En outre, les grues LICCON3 sont préparées de série pour la télémétrie et la gestion de flotte. Le portail clients </w:t>
      </w:r>
      <w:proofErr w:type="spellStart"/>
      <w:r>
        <w:t>MyLiebherr</w:t>
      </w:r>
      <w:proofErr w:type="spellEnd"/>
      <w:r>
        <w:t xml:space="preserve"> permet à l’avenir à l’exploitant de la grue de visualiser et d’évaluer toutes les données pertinentes.</w:t>
      </w:r>
    </w:p>
    <w:p w14:paraId="78D34A57" w14:textId="77777777" w:rsidR="00615A08" w:rsidRDefault="00615A08" w:rsidP="00891265">
      <w:pPr>
        <w:pStyle w:val="Copyhead11Pt"/>
      </w:pPr>
      <w:r>
        <w:t>Une cabine du grutier au design primé</w:t>
      </w:r>
    </w:p>
    <w:p w14:paraId="5333D801" w14:textId="39143D22" w:rsidR="003A2D2B" w:rsidRDefault="003A2D2B" w:rsidP="001B6E1B">
      <w:pPr>
        <w:pStyle w:val="Copytext11Pt"/>
      </w:pPr>
      <w:r w:rsidRPr="003A2D2B">
        <w:t xml:space="preserve">Le design moderne de la nouvelle cabine de conduite a été développé par Liebherr en collaboration avec le designer Jürgen R. Schmid, Design Tech, </w:t>
      </w:r>
      <w:proofErr w:type="spellStart"/>
      <w:r w:rsidRPr="003A2D2B">
        <w:t>Ammerbuch</w:t>
      </w:r>
      <w:proofErr w:type="spellEnd"/>
      <w:r w:rsidRPr="003A2D2B">
        <w:t xml:space="preserve"> (Allemagne). Il a décroché le célèbre </w:t>
      </w:r>
      <w:r w:rsidR="00615DD5" w:rsidRPr="003A2D2B">
        <w:t>GOOD DESIGN</w:t>
      </w:r>
      <w:r w:rsidR="00615DD5" w:rsidRPr="00615DD5">
        <w:rPr>
          <w:vertAlign w:val="superscript"/>
        </w:rPr>
        <w:t>®</w:t>
      </w:r>
      <w:r w:rsidR="00615DD5">
        <w:t xml:space="preserve"> </w:t>
      </w:r>
      <w:proofErr w:type="spellStart"/>
      <w:r w:rsidR="00615DD5">
        <w:t>a</w:t>
      </w:r>
      <w:r w:rsidRPr="003A2D2B">
        <w:t>ward</w:t>
      </w:r>
      <w:proofErr w:type="spellEnd"/>
      <w:r w:rsidRPr="003A2D2B">
        <w:t xml:space="preserve"> 2020 américain dans la catégorie « Transportation ». Les GOOD DESIGN</w:t>
      </w:r>
      <w:r w:rsidR="00615DD5" w:rsidRPr="00615DD5">
        <w:rPr>
          <w:vertAlign w:val="superscript"/>
        </w:rPr>
        <w:t>®</w:t>
      </w:r>
      <w:r w:rsidR="00615DD5">
        <w:t xml:space="preserve"> </w:t>
      </w:r>
      <w:proofErr w:type="spellStart"/>
      <w:r w:rsidR="00615DD5">
        <w:t>awards</w:t>
      </w:r>
      <w:proofErr w:type="spellEnd"/>
      <w:r w:rsidRPr="003A2D2B">
        <w:t xml:space="preserve"> ont été créés en 1950 par Eero Saarinen ainsi que Charles et Ray Eames et récompensent les designs industriels, de produits et graphiques les plus innovateurs et modernes dans le monde entier. Le Chicago </w:t>
      </w:r>
      <w:proofErr w:type="spellStart"/>
      <w:r w:rsidRPr="003A2D2B">
        <w:t>Atheaeum</w:t>
      </w:r>
      <w:proofErr w:type="spellEnd"/>
      <w:r w:rsidRPr="003A2D2B">
        <w:t xml:space="preserve"> Museum of Architecture and Design organise le programme afin de développer la prise de conscience du design contemporain.</w:t>
      </w:r>
    </w:p>
    <w:p w14:paraId="5CD7D1A8" w14:textId="26A641B7" w:rsidR="00627A44" w:rsidRPr="00151C61" w:rsidRDefault="00615A08" w:rsidP="001B6E1B">
      <w:pPr>
        <w:pStyle w:val="Copytext11Pt"/>
      </w:pPr>
      <w:r>
        <w:t>Liebherr a déjà présenté la nouvelle cabine d</w:t>
      </w:r>
      <w:r w:rsidR="00120B12">
        <w:t>e conduite</w:t>
      </w:r>
      <w:r>
        <w:t xml:space="preserve"> sur la </w:t>
      </w:r>
      <w:proofErr w:type="spellStart"/>
      <w:r>
        <w:t>Bauma</w:t>
      </w:r>
      <w:proofErr w:type="spellEnd"/>
      <w:r>
        <w:t xml:space="preserve"> 2019, pour </w:t>
      </w:r>
      <w:r w:rsidR="003F3AD4">
        <w:t xml:space="preserve">collecter </w:t>
      </w:r>
      <w:r w:rsidR="00105511">
        <w:t>au plus</w:t>
      </w:r>
      <w:r w:rsidR="003F3AD4">
        <w:t xml:space="preserve"> tôt l</w:t>
      </w:r>
      <w:r>
        <w:t>es réactions</w:t>
      </w:r>
      <w:r w:rsidR="003F3AD4">
        <w:t xml:space="preserve"> spontanées</w:t>
      </w:r>
      <w:r>
        <w:t xml:space="preserve"> des clients. De nombreuses suggestions ont </w:t>
      </w:r>
      <w:r w:rsidR="003F3AD4">
        <w:t xml:space="preserve">ainsi </w:t>
      </w:r>
      <w:r w:rsidR="00105511">
        <w:t xml:space="preserve">pu </w:t>
      </w:r>
      <w:r>
        <w:t xml:space="preserve">être </w:t>
      </w:r>
      <w:r w:rsidR="003F3AD4">
        <w:t>intégrées dans</w:t>
      </w:r>
      <w:r>
        <w:t xml:space="preserve"> la production en série. </w:t>
      </w:r>
      <w:r w:rsidR="003F3AD4">
        <w:t xml:space="preserve">Dans un souci de </w:t>
      </w:r>
      <w:r>
        <w:t>synergie, Liebhe</w:t>
      </w:r>
      <w:r w:rsidR="003F3AD4">
        <w:t>r</w:t>
      </w:r>
      <w:r>
        <w:t xml:space="preserve">r présente parallèlement la nouvelle cabine </w:t>
      </w:r>
      <w:r w:rsidR="00120B12">
        <w:t>de conduite</w:t>
      </w:r>
      <w:r>
        <w:t xml:space="preserve"> avec la commande LICCON3. Le design moderne transparait au travers de matériaux de qualité supérieure et d’une ligne intemporelle et offre au grutier de</w:t>
      </w:r>
      <w:r w:rsidR="00120B12">
        <w:t xml:space="preserve"> belles</w:t>
      </w:r>
      <w:r>
        <w:t xml:space="preserve"> améliorations. Le nouveau volant multifonctions, le store latéral sur </w:t>
      </w:r>
      <w:proofErr w:type="gramStart"/>
      <w:r>
        <w:t>la porte conducteur</w:t>
      </w:r>
      <w:proofErr w:type="gramEnd"/>
      <w:r>
        <w:t xml:space="preserve">, des </w:t>
      </w:r>
      <w:r w:rsidR="00527A76">
        <w:t>armatures renforcées</w:t>
      </w:r>
      <w:r w:rsidR="00120B12">
        <w:t>, un</w:t>
      </w:r>
      <w:r w:rsidR="00527A76">
        <w:t>e console de commande plus ergonomique</w:t>
      </w:r>
      <w:r w:rsidR="00120B12">
        <w:t xml:space="preserve"> et</w:t>
      </w:r>
      <w:r>
        <w:t xml:space="preserve"> de nouveaux affichages, en font partie. Des options </w:t>
      </w:r>
      <w:r w:rsidR="00120B12">
        <w:t xml:space="preserve">comme </w:t>
      </w:r>
      <w:r>
        <w:t>le système de fermeture central</w:t>
      </w:r>
      <w:r w:rsidR="00120B12">
        <w:t>isé</w:t>
      </w:r>
      <w:r>
        <w:t>e avec télécommande, une glacière et une surveillance de la pression des pneus</w:t>
      </w:r>
      <w:r w:rsidR="00120B12">
        <w:t>, sont également disponibles pour améliorer le confort.</w:t>
      </w:r>
    </w:p>
    <w:p w14:paraId="5E930327" w14:textId="6437ED6F" w:rsidR="007A1026" w:rsidRPr="00151C61" w:rsidRDefault="00627A44" w:rsidP="001B6E1B">
      <w:pPr>
        <w:pStyle w:val="Copytext11Pt"/>
      </w:pPr>
      <w:r>
        <w:t xml:space="preserve">Un </w:t>
      </w:r>
      <w:r w:rsidR="00120B12">
        <w:t xml:space="preserve">nouveau </w:t>
      </w:r>
      <w:r>
        <w:t>système de climatisation/chauffage automatique, moderne dans la cabine d</w:t>
      </w:r>
      <w:r w:rsidR="00491608">
        <w:t>e conduite</w:t>
      </w:r>
      <w:r>
        <w:t xml:space="preserve"> et de la grue veille à un confort accru. Un capteur solaire détecte le rayonnement du soleil et règle automatiquement la fonction chauffage. Une double radio DIN aux fonctions avancées est disponible en option en plus de la radio de série équipée d’un système mains-libres. </w:t>
      </w:r>
    </w:p>
    <w:p w14:paraId="48ECE94D" w14:textId="6FFC210F" w:rsidR="007A1026" w:rsidRPr="00151C61" w:rsidRDefault="007A1026" w:rsidP="007A1026">
      <w:pPr>
        <w:pStyle w:val="Copytext11Pt"/>
      </w:pPr>
      <w:r>
        <w:t xml:space="preserve">Nikolaus </w:t>
      </w:r>
      <w:proofErr w:type="spellStart"/>
      <w:r>
        <w:t>Münch</w:t>
      </w:r>
      <w:proofErr w:type="spellEnd"/>
      <w:r>
        <w:t xml:space="preserve"> cite comme autre point fort l’éclairage revisité : « La technique LED marque des points avec sa longue durée de vie. Elle permet d’assurer des heures de service bien </w:t>
      </w:r>
      <w:r w:rsidR="00491608">
        <w:t>supérieures</w:t>
      </w:r>
      <w:r>
        <w:t xml:space="preserve">, et veille en outre à un meilleur éclairage. » Les </w:t>
      </w:r>
      <w:r w:rsidR="00491608">
        <w:t>packs éclairage pour la cabine de conduite</w:t>
      </w:r>
      <w:r>
        <w:t xml:space="preserve">, la structure supérieure, l’arrière du véhicule, le projecteur avant et la flèche télescopique ainsi que les </w:t>
      </w:r>
      <w:r w:rsidR="00491608">
        <w:t>têtes</w:t>
      </w:r>
      <w:r>
        <w:t xml:space="preserve"> de flèche sont optimisés et peuvent fonctionner avec des LED.</w:t>
      </w:r>
    </w:p>
    <w:p w14:paraId="132F2053" w14:textId="77777777" w:rsidR="00CC0F04" w:rsidRPr="00151C61" w:rsidRDefault="00CC0F04" w:rsidP="00891265">
      <w:pPr>
        <w:pStyle w:val="Copyhead11Pt"/>
      </w:pPr>
      <w:r>
        <w:t xml:space="preserve">La transmission ZF </w:t>
      </w:r>
      <w:proofErr w:type="spellStart"/>
      <w:r>
        <w:t>TraXon</w:t>
      </w:r>
      <w:proofErr w:type="spellEnd"/>
      <w:r>
        <w:t xml:space="preserve"> </w:t>
      </w:r>
      <w:proofErr w:type="spellStart"/>
      <w:r>
        <w:t>DynamicPerform</w:t>
      </w:r>
      <w:proofErr w:type="spellEnd"/>
    </w:p>
    <w:p w14:paraId="11F7C009" w14:textId="1A79144C" w:rsidR="00751033" w:rsidRPr="00891265" w:rsidRDefault="00CC0F04" w:rsidP="00891265">
      <w:pPr>
        <w:pStyle w:val="Copytext11Pt"/>
      </w:pPr>
      <w:r w:rsidRPr="00891265">
        <w:t xml:space="preserve">Le module </w:t>
      </w:r>
      <w:r w:rsidR="004932AB" w:rsidRPr="00891265">
        <w:t xml:space="preserve">d’embrayage </w:t>
      </w:r>
      <w:r w:rsidR="00527A76" w:rsidRPr="00891265">
        <w:t>innovant</w:t>
      </w:r>
      <w:r w:rsidRPr="00891265">
        <w:t xml:space="preserve"> </w:t>
      </w:r>
      <w:proofErr w:type="spellStart"/>
      <w:r w:rsidRPr="00891265">
        <w:t>DynamicPerform</w:t>
      </w:r>
      <w:proofErr w:type="spellEnd"/>
      <w:r w:rsidRPr="00891265">
        <w:t xml:space="preserve"> offre </w:t>
      </w:r>
      <w:r w:rsidR="00757B31" w:rsidRPr="00891265">
        <w:t>à</w:t>
      </w:r>
      <w:r w:rsidRPr="00891265">
        <w:t xml:space="preserve"> la transmission ZF </w:t>
      </w:r>
      <w:proofErr w:type="spellStart"/>
      <w:r w:rsidRPr="00891265">
        <w:t>TraXon</w:t>
      </w:r>
      <w:proofErr w:type="spellEnd"/>
      <w:r w:rsidRPr="00891265">
        <w:t xml:space="preserve"> modula</w:t>
      </w:r>
      <w:r w:rsidR="00757B31" w:rsidRPr="00891265">
        <w:t>bl</w:t>
      </w:r>
      <w:r w:rsidRPr="00891265">
        <w:t>e intégrée</w:t>
      </w:r>
      <w:r w:rsidR="00145D6B" w:rsidRPr="00891265">
        <w:t>,</w:t>
      </w:r>
      <w:r w:rsidRPr="00891265">
        <w:t xml:space="preserve"> un démarrage et une manœuvre</w:t>
      </w:r>
      <w:r w:rsidR="00145D6B" w:rsidRPr="00891265">
        <w:t xml:space="preserve"> sur chantier</w:t>
      </w:r>
      <w:r w:rsidRPr="00891265">
        <w:t xml:space="preserve"> </w:t>
      </w:r>
      <w:r w:rsidR="00757B31" w:rsidRPr="00891265">
        <w:t xml:space="preserve">sans usure </w:t>
      </w:r>
      <w:r w:rsidR="000D659B" w:rsidRPr="00891265">
        <w:t>ni</w:t>
      </w:r>
      <w:r w:rsidR="00757B31" w:rsidRPr="00891265">
        <w:t xml:space="preserve"> </w:t>
      </w:r>
      <w:r w:rsidRPr="00891265">
        <w:t xml:space="preserve">surchauffe. Le nouveau module </w:t>
      </w:r>
      <w:r w:rsidR="00757B31" w:rsidRPr="00891265">
        <w:t>d’embrayage à bain d’huile transmet</w:t>
      </w:r>
      <w:r w:rsidRPr="00891265">
        <w:t xml:space="preserve"> la puissance moteur via un pack de </w:t>
      </w:r>
      <w:r w:rsidR="000D659B" w:rsidRPr="00891265">
        <w:t>disques</w:t>
      </w:r>
      <w:r w:rsidRPr="00891265">
        <w:t xml:space="preserve"> refroidi</w:t>
      </w:r>
      <w:r w:rsidR="000D659B" w:rsidRPr="00891265">
        <w:t>s</w:t>
      </w:r>
      <w:r w:rsidRPr="00891265">
        <w:t xml:space="preserve"> par huile. La chaleur de friction créée lors du démarrage est transmise à l’huile d‘</w:t>
      </w:r>
      <w:r w:rsidR="000D659B" w:rsidRPr="00891265">
        <w:t xml:space="preserve">embrayage puis, </w:t>
      </w:r>
      <w:r w:rsidRPr="00891265">
        <w:t xml:space="preserve">dirigée via </w:t>
      </w:r>
      <w:r w:rsidR="000D659B" w:rsidRPr="00891265">
        <w:t>un échangeur thermique</w:t>
      </w:r>
      <w:r w:rsidRPr="00891265">
        <w:t xml:space="preserve"> huile/eau au système de refroidissement du véhicule. </w:t>
      </w:r>
      <w:r w:rsidR="000D659B" w:rsidRPr="00891265">
        <w:t xml:space="preserve">Une utilisation durable et sans usure reste possible grâce à un calculateur, malgré </w:t>
      </w:r>
      <w:r w:rsidRPr="00891265">
        <w:t xml:space="preserve">la puissance et l’énergie </w:t>
      </w:r>
      <w:r w:rsidR="000D659B" w:rsidRPr="00891265">
        <w:t>générée</w:t>
      </w:r>
      <w:r w:rsidRPr="00891265">
        <w:t xml:space="preserve"> plus importantes.</w:t>
      </w:r>
      <w:r w:rsidR="000D659B" w:rsidRPr="00891265">
        <w:t xml:space="preserve"> </w:t>
      </w:r>
      <w:r w:rsidR="00145D6B" w:rsidRPr="00891265">
        <w:t>U</w:t>
      </w:r>
      <w:r w:rsidRPr="00891265">
        <w:t>ne fonction de protection de l’</w:t>
      </w:r>
      <w:r w:rsidR="00145D6B" w:rsidRPr="00891265">
        <w:t xml:space="preserve">embrayage </w:t>
      </w:r>
      <w:r w:rsidR="007F2AC9" w:rsidRPr="00891265">
        <w:t>intégrée</w:t>
      </w:r>
      <w:r w:rsidR="00145D6B" w:rsidRPr="00891265">
        <w:t xml:space="preserve"> évite </w:t>
      </w:r>
      <w:r w:rsidRPr="00891265">
        <w:t>une surchauffe de l’</w:t>
      </w:r>
      <w:r w:rsidR="00145D6B" w:rsidRPr="00891265">
        <w:t>embrayage</w:t>
      </w:r>
      <w:r w:rsidRPr="00891265">
        <w:t xml:space="preserve"> et l’usure accrue</w:t>
      </w:r>
      <w:r w:rsidR="00145D6B" w:rsidRPr="00891265">
        <w:t xml:space="preserve"> même </w:t>
      </w:r>
      <w:r w:rsidR="007F2AC9" w:rsidRPr="00891265">
        <w:t>lors de l’utilisation avec des</w:t>
      </w:r>
      <w:r w:rsidR="00145D6B" w:rsidRPr="00891265">
        <w:t xml:space="preserve"> cas de charges extrêmes. </w:t>
      </w:r>
      <w:r w:rsidRPr="00891265">
        <w:t xml:space="preserve">Les temps d'immobilisation sont ainsi évités et la durée de vie du groupe motopropulseur est considérablement prolongée. Les </w:t>
      </w:r>
      <w:r w:rsidRPr="00891265">
        <w:lastRenderedPageBreak/>
        <w:t xml:space="preserve">exploitants de grue profitent ainsi d’une plus grande efficacité et de coûts de maintenance réduits, la tâche des conducteurs est facilitée avec </w:t>
      </w:r>
      <w:r w:rsidR="00145D6B" w:rsidRPr="00891265">
        <w:t>l’embrayage</w:t>
      </w:r>
      <w:r w:rsidRPr="00891265">
        <w:t xml:space="preserve"> </w:t>
      </w:r>
      <w:r w:rsidR="00145D6B" w:rsidRPr="00891265">
        <w:t>d</w:t>
      </w:r>
      <w:r w:rsidRPr="00891265">
        <w:t xml:space="preserve">osable. </w:t>
      </w:r>
    </w:p>
    <w:p w14:paraId="49B62888" w14:textId="3A31CBA5" w:rsidR="00DC0174" w:rsidRPr="004D553E" w:rsidRDefault="007F2AC9" w:rsidP="001B6E1B">
      <w:pPr>
        <w:pStyle w:val="Copytext11Pt"/>
      </w:pPr>
      <w:r>
        <w:t>Le</w:t>
      </w:r>
      <w:r w:rsidR="004D553E">
        <w:t xml:space="preserve"> développement du </w:t>
      </w:r>
      <w:proofErr w:type="spellStart"/>
      <w:r w:rsidR="004D553E">
        <w:t>TraXon</w:t>
      </w:r>
      <w:proofErr w:type="spellEnd"/>
      <w:r w:rsidR="004D553E">
        <w:t xml:space="preserve"> </w:t>
      </w:r>
      <w:proofErr w:type="spellStart"/>
      <w:r w:rsidR="004D553E">
        <w:t>DynamicPerform</w:t>
      </w:r>
      <w:proofErr w:type="spellEnd"/>
      <w:r w:rsidR="004D553E">
        <w:t xml:space="preserve"> et </w:t>
      </w:r>
      <w:r>
        <w:t xml:space="preserve">son </w:t>
      </w:r>
      <w:r w:rsidR="004D553E">
        <w:t>intégration dans l</w:t>
      </w:r>
      <w:r>
        <w:t>e</w:t>
      </w:r>
      <w:r w:rsidR="004D553E">
        <w:t xml:space="preserve"> groupe </w:t>
      </w:r>
      <w:r w:rsidR="00145D6B">
        <w:t>moteur</w:t>
      </w:r>
      <w:r w:rsidR="004D553E">
        <w:t xml:space="preserve"> de</w:t>
      </w:r>
      <w:r w:rsidR="00145D6B">
        <w:t>s</w:t>
      </w:r>
      <w:r w:rsidR="004D553E">
        <w:t xml:space="preserve"> grues mobiles, Liebherr a été </w:t>
      </w:r>
      <w:r>
        <w:t xml:space="preserve">développé en partenariat avec la société </w:t>
      </w:r>
      <w:r w:rsidR="004D553E">
        <w:t xml:space="preserve">ZF. Josef </w:t>
      </w:r>
      <w:proofErr w:type="spellStart"/>
      <w:r w:rsidR="004D553E">
        <w:t>Schick</w:t>
      </w:r>
      <w:proofErr w:type="spellEnd"/>
      <w:r w:rsidR="004D553E">
        <w:t xml:space="preserve">, responsable du département essais chez Liebherr à </w:t>
      </w:r>
      <w:proofErr w:type="spellStart"/>
      <w:r w:rsidR="004D553E">
        <w:t>Ehingen</w:t>
      </w:r>
      <w:proofErr w:type="spellEnd"/>
      <w:r w:rsidR="004D553E">
        <w:t xml:space="preserve"> témoigne : « Grâce à l’étroite collaboration avec ZF, et à une phase de test très intensive, la nouvelle variante de transmission est maintenant prête pour la production en série. Des optimisations apportées à différents composants matériels ont permis d’augmenter encore considérablement la puissance de refroidissement du module d’</w:t>
      </w:r>
      <w:r>
        <w:t xml:space="preserve">embrayage </w:t>
      </w:r>
      <w:proofErr w:type="spellStart"/>
      <w:r w:rsidR="004D553E">
        <w:t>DynamicPerform</w:t>
      </w:r>
      <w:proofErr w:type="spellEnd"/>
      <w:r w:rsidR="004D553E">
        <w:t xml:space="preserve">. De plus le modèle a été perfectionné pour le calcul de la température des </w:t>
      </w:r>
      <w:r>
        <w:t>disques</w:t>
      </w:r>
      <w:r w:rsidR="004D553E">
        <w:t xml:space="preserve">. Des essais de véhicule dans la chambre froide jusqu’à moins 40 degrés confirment que </w:t>
      </w:r>
      <w:proofErr w:type="spellStart"/>
      <w:r w:rsidR="004D553E">
        <w:t>DynamicPerform</w:t>
      </w:r>
      <w:proofErr w:type="spellEnd"/>
      <w:r w:rsidR="004D553E">
        <w:t xml:space="preserve"> fonctionne maintenant aussi très bien à des températures extrêmement bass</w:t>
      </w:r>
      <w:r w:rsidR="005C68D5">
        <w:t xml:space="preserve">es. </w:t>
      </w:r>
      <w:r w:rsidR="004D553E">
        <w:t>Tous les problèmes de départ ont pu être solutionnés. Globalement, on peut dire qu’un monde sépare l</w:t>
      </w:r>
      <w:r>
        <w:t xml:space="preserve">’embrayage </w:t>
      </w:r>
      <w:r w:rsidR="004D553E">
        <w:t xml:space="preserve">à sec et le nouvel </w:t>
      </w:r>
      <w:r>
        <w:t>embrayage à bain d’huile</w:t>
      </w:r>
      <w:r w:rsidR="004D553E">
        <w:t>.</w:t>
      </w:r>
      <w:r w:rsidR="00C96B1D">
        <w:t xml:space="preserve"> </w:t>
      </w:r>
      <w:r w:rsidR="00C96B1D">
        <w:t>»</w:t>
      </w:r>
      <w:bookmarkStart w:id="0" w:name="_GoBack"/>
      <w:bookmarkEnd w:id="0"/>
    </w:p>
    <w:p w14:paraId="6C3DCC02" w14:textId="12D561C6" w:rsidR="001B6E1B" w:rsidRDefault="007F2AC9" w:rsidP="001B6E1B">
      <w:pPr>
        <w:pStyle w:val="Copytext11Pt"/>
      </w:pPr>
      <w:r>
        <w:t xml:space="preserve">Dans un premier temps, Liebherr va équiper au fur et à mesure </w:t>
      </w:r>
      <w:r w:rsidR="006D49B1">
        <w:t xml:space="preserve">la grue mobile à 5 essieux avec </w:t>
      </w:r>
      <w:r>
        <w:t xml:space="preserve">le module </w:t>
      </w:r>
      <w:proofErr w:type="spellStart"/>
      <w:r w:rsidR="006D49B1">
        <w:t>DynamicPerform</w:t>
      </w:r>
      <w:proofErr w:type="spellEnd"/>
      <w:r w:rsidR="006D49B1">
        <w:t xml:space="preserve">. Pour les grues mobiles à partir de six essieux, Liebherr continuera à utiliser la transmission à 12 vitesses ZF </w:t>
      </w:r>
      <w:proofErr w:type="spellStart"/>
      <w:r w:rsidR="006D49B1">
        <w:t>TraXon</w:t>
      </w:r>
      <w:proofErr w:type="spellEnd"/>
      <w:r w:rsidR="006D49B1">
        <w:t xml:space="preserve"> Torque avec transducteur de démarrage, qui offre, outre une manœuvre sans usure, également une augmentation de couple.</w:t>
      </w:r>
    </w:p>
    <w:p w14:paraId="16BBCB6E" w14:textId="497BD22D" w:rsidR="00B81ED6" w:rsidRPr="007C2814" w:rsidRDefault="00B81ED6" w:rsidP="001B6E1B">
      <w:pPr>
        <w:pStyle w:val="BoilerplateCopyhead9Pt"/>
      </w:pPr>
      <w:r>
        <w:t>À propos de Liebherr-</w:t>
      </w:r>
      <w:proofErr w:type="spellStart"/>
      <w:r>
        <w:t>Werk</w:t>
      </w:r>
      <w:proofErr w:type="spellEnd"/>
      <w:r>
        <w:t xml:space="preserve"> </w:t>
      </w:r>
      <w:proofErr w:type="spellStart"/>
      <w:r>
        <w:t>Ehingen</w:t>
      </w:r>
      <w:proofErr w:type="spellEnd"/>
      <w:r>
        <w:t xml:space="preserve"> </w:t>
      </w:r>
      <w:proofErr w:type="spellStart"/>
      <w:r>
        <w:t>GmbH</w:t>
      </w:r>
      <w:proofErr w:type="spellEnd"/>
    </w:p>
    <w:p w14:paraId="3D77E632" w14:textId="77777777" w:rsidR="00B81ED6" w:rsidRPr="007C2814" w:rsidRDefault="00B81ED6" w:rsidP="00B81ED6">
      <w:pPr>
        <w:pStyle w:val="BoilerplateCopytext9Pt"/>
      </w:pPr>
      <w:r>
        <w:t>Liebherr-</w:t>
      </w:r>
      <w:proofErr w:type="spellStart"/>
      <w:r>
        <w:t>Werk</w:t>
      </w:r>
      <w:proofErr w:type="spellEnd"/>
      <w:r>
        <w:t xml:space="preserve"> </w:t>
      </w:r>
      <w:proofErr w:type="spellStart"/>
      <w:r>
        <w:t>Ehingen</w:t>
      </w:r>
      <w:proofErr w:type="spellEnd"/>
      <w:r>
        <w:t xml:space="preserve"> </w:t>
      </w:r>
      <w:proofErr w:type="spellStart"/>
      <w:r>
        <w:t>GmbH</w:t>
      </w:r>
      <w:proofErr w:type="spellEnd"/>
      <w:r>
        <w:t xml:space="preserve">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w:t>
      </w:r>
      <w:proofErr w:type="spellStart"/>
      <w:r>
        <w:t>Ehingen</w:t>
      </w:r>
      <w:proofErr w:type="spellEnd"/>
      <w:r>
        <w:t xml:space="preserve"> emploie 3 500 salariés. Un service complet et mondial garantit une haute disponibilité des grues mobiles et sur chenilles. En 2020, Liebherr-</w:t>
      </w:r>
      <w:proofErr w:type="spellStart"/>
      <w:r>
        <w:t>Werk</w:t>
      </w:r>
      <w:proofErr w:type="spellEnd"/>
      <w:r>
        <w:t xml:space="preserve"> </w:t>
      </w:r>
      <w:proofErr w:type="spellStart"/>
      <w:r>
        <w:t>Ehingen</w:t>
      </w:r>
      <w:proofErr w:type="spellEnd"/>
      <w:r>
        <w:t xml:space="preserve"> a généré un chiffre d’affaires de 2,03 milliards d’euros.</w:t>
      </w:r>
    </w:p>
    <w:p w14:paraId="3BC6DE96" w14:textId="77777777" w:rsidR="00B81ED6" w:rsidRPr="00DE6E5C" w:rsidRDefault="00B81ED6" w:rsidP="00B81ED6">
      <w:pPr>
        <w:pStyle w:val="BoilerplateCopyhead9Pt"/>
      </w:pPr>
      <w:r>
        <w:t>À propos du groupe Liebherr</w:t>
      </w:r>
    </w:p>
    <w:p w14:paraId="5755F2D6" w14:textId="77777777" w:rsidR="00B81ED6" w:rsidRDefault="00B81ED6" w:rsidP="00B81ED6">
      <w:pPr>
        <w:pStyle w:val="BoilerplateCopytext9Pt"/>
      </w:pPr>
      <w:r>
        <w:t xml:space="preserve">Le groupe Liebherr est une entreprise technologique familiale dont la gamme de produits est très variée. L’entreprise fait partie des plus importants fabricants d’engins de construction au monde et propose également dans de nombreux autres domaines des produits et des services de haute qualité et à valeur ajoutée. Le groupe comprend aujourd’hui plus de 140 sociétés réparties sur tous les continents, il emploie près de 48 000 collaborateurs et collaboratrices et a généré en 2020 un chiffre d’affaires total consolidé de plus de 10,3 milliards d’euros. Depuis sa création en 1949 en Allemagne du Sud à </w:t>
      </w:r>
      <w:proofErr w:type="spellStart"/>
      <w:r>
        <w:t>Kirchdorf</w:t>
      </w:r>
      <w:proofErr w:type="spellEnd"/>
      <w:r>
        <w:t xml:space="preserve"> an der Iller, Liebherr poursuit son objectif : séduire ses clients avec des solutions exceptionnelles et contribuer au progrès technologique.</w:t>
      </w:r>
    </w:p>
    <w:p w14:paraId="6E4AE682" w14:textId="77777777" w:rsidR="00891265" w:rsidRDefault="00891265">
      <w:pPr>
        <w:rPr>
          <w:b/>
        </w:rPr>
      </w:pPr>
      <w:r>
        <w:rPr>
          <w:b/>
        </w:rPr>
        <w:br w:type="page"/>
      </w:r>
    </w:p>
    <w:p w14:paraId="1751ED7C" w14:textId="0C428091" w:rsidR="00B81ED6" w:rsidRPr="00326EDF" w:rsidRDefault="00B81ED6" w:rsidP="00891265">
      <w:pPr>
        <w:pStyle w:val="Copyhead11Pt"/>
      </w:pPr>
      <w:r>
        <w:lastRenderedPageBreak/>
        <w:t>Images</w:t>
      </w:r>
    </w:p>
    <w:p w14:paraId="3D107D8C" w14:textId="77777777" w:rsidR="00B81ED6" w:rsidRDefault="00A33CEB" w:rsidP="00B81ED6">
      <w:pPr>
        <w:pStyle w:val="Caption9Pt"/>
      </w:pPr>
      <w:r>
        <w:rPr>
          <w:noProof/>
          <w:lang w:val="de-DE" w:eastAsia="de-DE"/>
        </w:rPr>
        <w:drawing>
          <wp:inline distT="0" distB="0" distL="0" distR="0" wp14:anchorId="070B0826" wp14:editId="4D444D0E">
            <wp:extent cx="4313903" cy="2873961"/>
            <wp:effectExtent l="0" t="0" r="0" b="317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a:extLst>
                        <a:ext uri="{28A0092B-C50C-407E-A947-70E740481C1C}">
                          <a14:useLocalDpi xmlns:a14="http://schemas.microsoft.com/office/drawing/2010/main" val="0"/>
                        </a:ext>
                      </a:extLst>
                    </a:blip>
                    <a:stretch>
                      <a:fillRect/>
                    </a:stretch>
                  </pic:blipFill>
                  <pic:spPr>
                    <a:xfrm>
                      <a:off x="0" y="0"/>
                      <a:ext cx="4379594" cy="2917725"/>
                    </a:xfrm>
                    <a:prstGeom prst="rect">
                      <a:avLst/>
                    </a:prstGeom>
                  </pic:spPr>
                </pic:pic>
              </a:graphicData>
            </a:graphic>
          </wp:inline>
        </w:drawing>
      </w:r>
    </w:p>
    <w:p w14:paraId="3CAD32FC" w14:textId="77777777" w:rsidR="00D93114" w:rsidRDefault="00C66B3C" w:rsidP="00041BC5">
      <w:pPr>
        <w:pStyle w:val="Caption9Pt"/>
      </w:pPr>
      <w:r>
        <w:t>liebherr-ltm1110-5-2.jpg</w:t>
      </w:r>
      <w:r>
        <w:br/>
        <w:t>Nouveau design : La grue mobile Liebherr LTM 1110-5.2 propose une technique de grue de pointe dans un look entièrement nouveau.</w:t>
      </w:r>
    </w:p>
    <w:p w14:paraId="5B89C031" w14:textId="77777777" w:rsidR="00290C67" w:rsidRDefault="00290C67" w:rsidP="00041BC5">
      <w:pPr>
        <w:pStyle w:val="Caption9Pt"/>
      </w:pPr>
    </w:p>
    <w:p w14:paraId="4E9EFF0D" w14:textId="77777777" w:rsidR="00290C67" w:rsidRDefault="003B15B8" w:rsidP="00041BC5">
      <w:pPr>
        <w:pStyle w:val="Caption9Pt"/>
      </w:pPr>
      <w:r>
        <w:rPr>
          <w:noProof/>
          <w:lang w:val="de-DE" w:eastAsia="de-DE"/>
        </w:rPr>
        <w:drawing>
          <wp:inline distT="0" distB="0" distL="0" distR="0" wp14:anchorId="504CF537" wp14:editId="336824BC">
            <wp:extent cx="4581842" cy="3052466"/>
            <wp:effectExtent l="0" t="0" r="952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3">
                      <a:extLst>
                        <a:ext uri="{28A0092B-C50C-407E-A947-70E740481C1C}">
                          <a14:useLocalDpi xmlns:a14="http://schemas.microsoft.com/office/drawing/2010/main" val="0"/>
                        </a:ext>
                      </a:extLst>
                    </a:blip>
                    <a:stretch>
                      <a:fillRect/>
                    </a:stretch>
                  </pic:blipFill>
                  <pic:spPr>
                    <a:xfrm>
                      <a:off x="0" y="0"/>
                      <a:ext cx="4623769" cy="3080398"/>
                    </a:xfrm>
                    <a:prstGeom prst="rect">
                      <a:avLst/>
                    </a:prstGeom>
                  </pic:spPr>
                </pic:pic>
              </a:graphicData>
            </a:graphic>
          </wp:inline>
        </w:drawing>
      </w:r>
    </w:p>
    <w:p w14:paraId="44AB7B1A" w14:textId="035F73A2" w:rsidR="00290C67" w:rsidRDefault="009329E1" w:rsidP="00041BC5">
      <w:pPr>
        <w:pStyle w:val="Caption9Pt"/>
      </w:pPr>
      <w:r>
        <w:t>liebherr-ltm1110-5-2-driver-cab.jpg</w:t>
      </w:r>
      <w:r>
        <w:br/>
        <w:t xml:space="preserve">Aménagée pour les grutiers : Nouveau volant multifonctions, armatures et </w:t>
      </w:r>
      <w:r w:rsidR="007F2AC9">
        <w:t>consoles</w:t>
      </w:r>
      <w:r>
        <w:t xml:space="preserve"> améliorés ainsi que nouveaux affichages</w:t>
      </w:r>
      <w:r w:rsidR="00891265">
        <w:t>.</w:t>
      </w:r>
    </w:p>
    <w:p w14:paraId="019E6513" w14:textId="77777777" w:rsidR="00290C67" w:rsidRDefault="00290C67" w:rsidP="00041BC5">
      <w:pPr>
        <w:pStyle w:val="Caption9Pt"/>
      </w:pPr>
    </w:p>
    <w:p w14:paraId="34982819" w14:textId="77777777" w:rsidR="00290C67" w:rsidRDefault="00BD2A10" w:rsidP="00041BC5">
      <w:pPr>
        <w:pStyle w:val="Caption9Pt"/>
      </w:pPr>
      <w:r>
        <w:rPr>
          <w:noProof/>
          <w:lang w:val="de-DE" w:eastAsia="de-DE"/>
        </w:rPr>
        <w:lastRenderedPageBreak/>
        <w:drawing>
          <wp:inline distT="0" distB="0" distL="0" distR="0" wp14:anchorId="3D560D66" wp14:editId="294CD860">
            <wp:extent cx="4597830" cy="3063117"/>
            <wp:effectExtent l="0" t="0" r="0" b="444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10-5-2-touch-display-96dpi.jpg"/>
                    <pic:cNvPicPr/>
                  </pic:nvPicPr>
                  <pic:blipFill>
                    <a:blip r:embed="rId14">
                      <a:extLst>
                        <a:ext uri="{28A0092B-C50C-407E-A947-70E740481C1C}">
                          <a14:useLocalDpi xmlns:a14="http://schemas.microsoft.com/office/drawing/2010/main" val="0"/>
                        </a:ext>
                      </a:extLst>
                    </a:blip>
                    <a:stretch>
                      <a:fillRect/>
                    </a:stretch>
                  </pic:blipFill>
                  <pic:spPr>
                    <a:xfrm>
                      <a:off x="0" y="0"/>
                      <a:ext cx="4615075" cy="3074606"/>
                    </a:xfrm>
                    <a:prstGeom prst="rect">
                      <a:avLst/>
                    </a:prstGeom>
                  </pic:spPr>
                </pic:pic>
              </a:graphicData>
            </a:graphic>
          </wp:inline>
        </w:drawing>
      </w:r>
    </w:p>
    <w:p w14:paraId="4C4728A4" w14:textId="77777777" w:rsidR="00FF79CE" w:rsidRDefault="00290C67" w:rsidP="00041BC5">
      <w:pPr>
        <w:pStyle w:val="Caption9Pt"/>
      </w:pPr>
      <w:r>
        <w:t>liebherr-ltm1110-5-2-touch-display.jpg</w:t>
      </w:r>
      <w:r>
        <w:br/>
        <w:t>Fonction tactile : Sur le grand écran dans la cabine de grue, l’utilisation est maintenant devenue encore plus simple et plus confortable.</w:t>
      </w:r>
      <w:r>
        <w:br/>
      </w:r>
    </w:p>
    <w:p w14:paraId="60EEED96" w14:textId="77777777" w:rsidR="00FF79CE" w:rsidRDefault="00FF79CE" w:rsidP="00041BC5">
      <w:pPr>
        <w:pStyle w:val="Caption9Pt"/>
      </w:pPr>
      <w:r>
        <w:rPr>
          <w:noProof/>
          <w:lang w:val="de-DE" w:eastAsia="de-DE"/>
        </w:rPr>
        <w:drawing>
          <wp:inline distT="0" distB="0" distL="0" distR="0" wp14:anchorId="041597F2" wp14:editId="4B72D3D0">
            <wp:extent cx="2570205" cy="2971800"/>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81230" cy="2984547"/>
                    </a:xfrm>
                    <a:prstGeom prst="rect">
                      <a:avLst/>
                    </a:prstGeom>
                  </pic:spPr>
                </pic:pic>
              </a:graphicData>
            </a:graphic>
          </wp:inline>
        </w:drawing>
      </w:r>
    </w:p>
    <w:p w14:paraId="491D7918" w14:textId="77777777" w:rsidR="004E2BC7" w:rsidRDefault="009B4E59" w:rsidP="009B4E59">
      <w:pPr>
        <w:pStyle w:val="Caption9Pt"/>
      </w:pPr>
      <w:r>
        <w:t>zf-traxon-dynamic-perform.jpg</w:t>
      </w:r>
      <w:r>
        <w:br/>
        <w:t xml:space="preserve">Des manœuvres parfaites : Le nouveau module d'accouplement </w:t>
      </w:r>
      <w:proofErr w:type="spellStart"/>
      <w:r>
        <w:t>DynamicPerform</w:t>
      </w:r>
      <w:proofErr w:type="spellEnd"/>
      <w:r>
        <w:t xml:space="preserve"> transmet la puissance du moteur via des lamelles intégrées refroidies par le circuit d'huile.</w:t>
      </w:r>
    </w:p>
    <w:p w14:paraId="4029D13B" w14:textId="77777777" w:rsidR="00891265" w:rsidRDefault="00891265">
      <w:pPr>
        <w:rPr>
          <w:rFonts w:ascii="Arial" w:eastAsia="Times New Roman" w:hAnsi="Arial" w:cs="Times New Roman"/>
          <w:b/>
          <w:szCs w:val="18"/>
          <w:lang w:eastAsia="de-DE"/>
        </w:rPr>
      </w:pPr>
      <w:r>
        <w:br w:type="page"/>
      </w:r>
    </w:p>
    <w:p w14:paraId="6006F618" w14:textId="6412CC05" w:rsidR="00B81ED6" w:rsidRPr="005537CA" w:rsidRDefault="009D6D09" w:rsidP="00B81ED6">
      <w:pPr>
        <w:pStyle w:val="Copyhead11Pt"/>
      </w:pPr>
      <w:r>
        <w:lastRenderedPageBreak/>
        <w:t>Interlocuteur</w:t>
      </w:r>
    </w:p>
    <w:p w14:paraId="061BD907" w14:textId="77777777" w:rsidR="00B81ED6" w:rsidRPr="005537CA" w:rsidRDefault="00B81ED6" w:rsidP="00B81ED6">
      <w:pPr>
        <w:pStyle w:val="Copytext11Pt"/>
      </w:pPr>
      <w:r>
        <w:t>Wolfgang Beringer</w:t>
      </w:r>
      <w:r>
        <w:br/>
        <w:t>Marketing et Communication</w:t>
      </w:r>
      <w:r>
        <w:br/>
        <w:t>Téléphone : +49 7391/502-3663</w:t>
      </w:r>
      <w:r>
        <w:br/>
        <w:t>E-mail : wolfgang.beringer@liebherr.com</w:t>
      </w:r>
    </w:p>
    <w:p w14:paraId="3D6A9DCC" w14:textId="77777777" w:rsidR="00B81ED6" w:rsidRPr="00C21541" w:rsidRDefault="00B81ED6" w:rsidP="00B81ED6">
      <w:pPr>
        <w:pStyle w:val="Copyhead11Pt"/>
        <w:rPr>
          <w:lang w:val="de-DE"/>
        </w:rPr>
      </w:pPr>
      <w:proofErr w:type="spellStart"/>
      <w:r w:rsidRPr="00C21541">
        <w:rPr>
          <w:lang w:val="de-DE"/>
        </w:rPr>
        <w:t>Publié</w:t>
      </w:r>
      <w:proofErr w:type="spellEnd"/>
      <w:r w:rsidRPr="00C21541">
        <w:rPr>
          <w:lang w:val="de-DE"/>
        </w:rPr>
        <w:t xml:space="preserve"> par</w:t>
      </w:r>
    </w:p>
    <w:p w14:paraId="3E346D75" w14:textId="77777777" w:rsidR="00B81ED6" w:rsidRPr="00271F66" w:rsidRDefault="00B81ED6" w:rsidP="00033002">
      <w:pPr>
        <w:pStyle w:val="Copytext11Pt"/>
        <w:rPr>
          <w:lang w:val="de-DE"/>
        </w:rPr>
      </w:pPr>
      <w:r w:rsidRPr="00271F66">
        <w:rPr>
          <w:lang w:val="de-DE"/>
        </w:rPr>
        <w:t xml:space="preserve">Liebherr-Werk Ehingen GmbH </w:t>
      </w:r>
      <w:r w:rsidRPr="00271F66">
        <w:rPr>
          <w:lang w:val="de-DE"/>
        </w:rPr>
        <w:br/>
        <w:t>Ehingen (</w:t>
      </w:r>
      <w:proofErr w:type="spellStart"/>
      <w:r w:rsidRPr="00271F66">
        <w:rPr>
          <w:lang w:val="de-DE"/>
        </w:rPr>
        <w:t>Danube</w:t>
      </w:r>
      <w:proofErr w:type="spellEnd"/>
      <w:r w:rsidRPr="00271F66">
        <w:rPr>
          <w:lang w:val="de-DE"/>
        </w:rPr>
        <w:t>)/</w:t>
      </w:r>
      <w:proofErr w:type="spellStart"/>
      <w:r w:rsidRPr="00271F66">
        <w:rPr>
          <w:lang w:val="de-DE"/>
        </w:rPr>
        <w:t>Allemagne</w:t>
      </w:r>
      <w:proofErr w:type="spellEnd"/>
      <w:r w:rsidRPr="00271F66">
        <w:rPr>
          <w:lang w:val="de-DE"/>
        </w:rPr>
        <w:br/>
        <w:t>www.liebherr.com</w:t>
      </w:r>
    </w:p>
    <w:sectPr w:rsidR="00B81ED6" w:rsidRPr="00271F6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C02AD" w14:textId="77777777" w:rsidR="006275FD" w:rsidRDefault="006275FD" w:rsidP="00B81ED6">
      <w:pPr>
        <w:spacing w:after="0" w:line="240" w:lineRule="auto"/>
      </w:pPr>
      <w:r>
        <w:separator/>
      </w:r>
    </w:p>
  </w:endnote>
  <w:endnote w:type="continuationSeparator" w:id="0">
    <w:p w14:paraId="44BE715A" w14:textId="77777777" w:rsidR="006275FD" w:rsidRDefault="006275F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CDF72" w14:textId="76159DA1"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96B1D">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96B1D">
      <w:rPr>
        <w:rFonts w:ascii="Arial" w:hAnsi="Arial" w:cs="Arial"/>
        <w:noProof/>
      </w:rPr>
      <w:instrText>6</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96B1D">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 </w:instrText>
    </w:r>
    <w:r w:rsidR="00C96B1D">
      <w:rPr>
        <w:rFonts w:ascii="Arial" w:hAnsi="Arial" w:cs="Arial"/>
      </w:rPr>
      <w:fldChar w:fldCharType="separate"/>
    </w:r>
    <w:r w:rsidR="00C96B1D">
      <w:rPr>
        <w:rFonts w:ascii="Arial" w:hAnsi="Arial" w:cs="Arial"/>
        <w:noProof/>
      </w:rPr>
      <w:t>6</w:t>
    </w:r>
    <w:r w:rsidR="00C96B1D" w:rsidRPr="0093605C">
      <w:rPr>
        <w:rFonts w:ascii="Arial" w:hAnsi="Arial" w:cs="Arial"/>
        <w:noProof/>
      </w:rPr>
      <w:t>/</w:t>
    </w:r>
    <w:r w:rsidR="00C96B1D">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34B58C" w14:textId="77777777" w:rsidR="006275FD" w:rsidRDefault="006275FD" w:rsidP="00B81ED6">
      <w:pPr>
        <w:spacing w:after="0" w:line="240" w:lineRule="auto"/>
      </w:pPr>
      <w:r>
        <w:separator/>
      </w:r>
    </w:p>
  </w:footnote>
  <w:footnote w:type="continuationSeparator" w:id="0">
    <w:p w14:paraId="5ADF6B68" w14:textId="77777777" w:rsidR="006275FD" w:rsidRDefault="006275FD"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2FBE"/>
    <w:rsid w:val="0004611D"/>
    <w:rsid w:val="0007298E"/>
    <w:rsid w:val="000830B6"/>
    <w:rsid w:val="000A558A"/>
    <w:rsid w:val="000B3E58"/>
    <w:rsid w:val="000D659B"/>
    <w:rsid w:val="000E5DFD"/>
    <w:rsid w:val="000F7093"/>
    <w:rsid w:val="001052B5"/>
    <w:rsid w:val="00105511"/>
    <w:rsid w:val="00106E3F"/>
    <w:rsid w:val="00113E23"/>
    <w:rsid w:val="00120B12"/>
    <w:rsid w:val="001228E5"/>
    <w:rsid w:val="00125710"/>
    <w:rsid w:val="00126972"/>
    <w:rsid w:val="001342D1"/>
    <w:rsid w:val="001419B4"/>
    <w:rsid w:val="00145D6B"/>
    <w:rsid w:val="00145DB7"/>
    <w:rsid w:val="00151C61"/>
    <w:rsid w:val="00187D99"/>
    <w:rsid w:val="00190FE6"/>
    <w:rsid w:val="001A73A8"/>
    <w:rsid w:val="001B6E1B"/>
    <w:rsid w:val="001F005F"/>
    <w:rsid w:val="00232209"/>
    <w:rsid w:val="002356F7"/>
    <w:rsid w:val="00271F66"/>
    <w:rsid w:val="00290C67"/>
    <w:rsid w:val="002B53C5"/>
    <w:rsid w:val="002E372D"/>
    <w:rsid w:val="002F2058"/>
    <w:rsid w:val="002F3EFF"/>
    <w:rsid w:val="00302A11"/>
    <w:rsid w:val="00326EDF"/>
    <w:rsid w:val="00347580"/>
    <w:rsid w:val="003524D2"/>
    <w:rsid w:val="00386E88"/>
    <w:rsid w:val="003A2D2B"/>
    <w:rsid w:val="003B15B8"/>
    <w:rsid w:val="003E09E5"/>
    <w:rsid w:val="003F3AD4"/>
    <w:rsid w:val="004143E0"/>
    <w:rsid w:val="004272A4"/>
    <w:rsid w:val="00436032"/>
    <w:rsid w:val="00440A94"/>
    <w:rsid w:val="00442ACB"/>
    <w:rsid w:val="00451336"/>
    <w:rsid w:val="00491608"/>
    <w:rsid w:val="004932AB"/>
    <w:rsid w:val="004B2289"/>
    <w:rsid w:val="004B5D40"/>
    <w:rsid w:val="004D0FB7"/>
    <w:rsid w:val="004D553E"/>
    <w:rsid w:val="004D5CF0"/>
    <w:rsid w:val="004E2BC7"/>
    <w:rsid w:val="004E65B6"/>
    <w:rsid w:val="004F6EB2"/>
    <w:rsid w:val="00504CEB"/>
    <w:rsid w:val="00513B2E"/>
    <w:rsid w:val="00527A76"/>
    <w:rsid w:val="0053334B"/>
    <w:rsid w:val="0053630F"/>
    <w:rsid w:val="00556698"/>
    <w:rsid w:val="005667BC"/>
    <w:rsid w:val="00582C8F"/>
    <w:rsid w:val="005A7DA1"/>
    <w:rsid w:val="005B6216"/>
    <w:rsid w:val="005C1EDC"/>
    <w:rsid w:val="005C68D5"/>
    <w:rsid w:val="005F507C"/>
    <w:rsid w:val="00615A08"/>
    <w:rsid w:val="00615DD5"/>
    <w:rsid w:val="006275FD"/>
    <w:rsid w:val="00627A44"/>
    <w:rsid w:val="00652E53"/>
    <w:rsid w:val="0068530C"/>
    <w:rsid w:val="00695C81"/>
    <w:rsid w:val="006A024C"/>
    <w:rsid w:val="006C19F8"/>
    <w:rsid w:val="006D49B1"/>
    <w:rsid w:val="006D5456"/>
    <w:rsid w:val="0071394B"/>
    <w:rsid w:val="00731192"/>
    <w:rsid w:val="00751033"/>
    <w:rsid w:val="00757B31"/>
    <w:rsid w:val="007677C2"/>
    <w:rsid w:val="007738A1"/>
    <w:rsid w:val="007A079A"/>
    <w:rsid w:val="007A1026"/>
    <w:rsid w:val="007A4355"/>
    <w:rsid w:val="007B2BE9"/>
    <w:rsid w:val="007B31E4"/>
    <w:rsid w:val="007B538E"/>
    <w:rsid w:val="007F2586"/>
    <w:rsid w:val="007F2AC9"/>
    <w:rsid w:val="00804A39"/>
    <w:rsid w:val="00821763"/>
    <w:rsid w:val="008275C0"/>
    <w:rsid w:val="00841A50"/>
    <w:rsid w:val="00865298"/>
    <w:rsid w:val="008820CF"/>
    <w:rsid w:val="00891265"/>
    <w:rsid w:val="00892636"/>
    <w:rsid w:val="008C173D"/>
    <w:rsid w:val="008D0FB8"/>
    <w:rsid w:val="008E1A8F"/>
    <w:rsid w:val="008E269E"/>
    <w:rsid w:val="008E2EC2"/>
    <w:rsid w:val="008F6230"/>
    <w:rsid w:val="00910472"/>
    <w:rsid w:val="009169F9"/>
    <w:rsid w:val="009329E1"/>
    <w:rsid w:val="0093605C"/>
    <w:rsid w:val="00940C66"/>
    <w:rsid w:val="009632F9"/>
    <w:rsid w:val="00965077"/>
    <w:rsid w:val="009705BE"/>
    <w:rsid w:val="009726C5"/>
    <w:rsid w:val="009805AC"/>
    <w:rsid w:val="009A70B1"/>
    <w:rsid w:val="009B4E59"/>
    <w:rsid w:val="009C05DF"/>
    <w:rsid w:val="009C5D08"/>
    <w:rsid w:val="009D6D09"/>
    <w:rsid w:val="009F7CE9"/>
    <w:rsid w:val="00A03593"/>
    <w:rsid w:val="00A06380"/>
    <w:rsid w:val="00A25C00"/>
    <w:rsid w:val="00A330EA"/>
    <w:rsid w:val="00A33CEB"/>
    <w:rsid w:val="00A5299C"/>
    <w:rsid w:val="00A56081"/>
    <w:rsid w:val="00A77256"/>
    <w:rsid w:val="00A821A3"/>
    <w:rsid w:val="00A9726B"/>
    <w:rsid w:val="00AA4C9E"/>
    <w:rsid w:val="00AB4FF8"/>
    <w:rsid w:val="00AC2129"/>
    <w:rsid w:val="00AC59BB"/>
    <w:rsid w:val="00AD66CA"/>
    <w:rsid w:val="00AE368A"/>
    <w:rsid w:val="00AE7982"/>
    <w:rsid w:val="00AE7D61"/>
    <w:rsid w:val="00AF1F99"/>
    <w:rsid w:val="00AF4CC4"/>
    <w:rsid w:val="00B06FE1"/>
    <w:rsid w:val="00B140A2"/>
    <w:rsid w:val="00B44BA4"/>
    <w:rsid w:val="00B45138"/>
    <w:rsid w:val="00B57F64"/>
    <w:rsid w:val="00B81ED6"/>
    <w:rsid w:val="00BB56BF"/>
    <w:rsid w:val="00BD2A10"/>
    <w:rsid w:val="00BD7045"/>
    <w:rsid w:val="00BE14DF"/>
    <w:rsid w:val="00BE181C"/>
    <w:rsid w:val="00BE5089"/>
    <w:rsid w:val="00BF4D2A"/>
    <w:rsid w:val="00BF7293"/>
    <w:rsid w:val="00C06BE7"/>
    <w:rsid w:val="00C21541"/>
    <w:rsid w:val="00C37254"/>
    <w:rsid w:val="00C50B8A"/>
    <w:rsid w:val="00C52BD5"/>
    <w:rsid w:val="00C54A3C"/>
    <w:rsid w:val="00C66B3C"/>
    <w:rsid w:val="00C86DA6"/>
    <w:rsid w:val="00C96B1D"/>
    <w:rsid w:val="00CA7425"/>
    <w:rsid w:val="00CC0F04"/>
    <w:rsid w:val="00CE2BDE"/>
    <w:rsid w:val="00CF35BA"/>
    <w:rsid w:val="00D00D31"/>
    <w:rsid w:val="00D441AB"/>
    <w:rsid w:val="00D5093D"/>
    <w:rsid w:val="00D731AB"/>
    <w:rsid w:val="00D90553"/>
    <w:rsid w:val="00D93114"/>
    <w:rsid w:val="00DA5597"/>
    <w:rsid w:val="00DB439D"/>
    <w:rsid w:val="00DC0174"/>
    <w:rsid w:val="00DC3DB0"/>
    <w:rsid w:val="00DC5E90"/>
    <w:rsid w:val="00DD46BE"/>
    <w:rsid w:val="00DE14EF"/>
    <w:rsid w:val="00E0305C"/>
    <w:rsid w:val="00E120DB"/>
    <w:rsid w:val="00E67DF6"/>
    <w:rsid w:val="00E811A5"/>
    <w:rsid w:val="00E811AD"/>
    <w:rsid w:val="00E96CC1"/>
    <w:rsid w:val="00E96F3D"/>
    <w:rsid w:val="00EA26F3"/>
    <w:rsid w:val="00EB5166"/>
    <w:rsid w:val="00EC1836"/>
    <w:rsid w:val="00ED3FD1"/>
    <w:rsid w:val="00ED40BB"/>
    <w:rsid w:val="00F266EE"/>
    <w:rsid w:val="00F7088F"/>
    <w:rsid w:val="00F80D62"/>
    <w:rsid w:val="00FA10BE"/>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F7B65B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821118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F1556032-82DC-4AD3-8A5F-8FA04A6FF7DA}">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5946A2A-6C9E-4737-8535-CF31C937B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1599</Words>
  <Characters>8908</Characters>
  <Application>Microsoft Office Word</Application>
  <DocSecurity>0</DocSecurity>
  <Lines>141</Lines>
  <Paragraphs>38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Vertraut gedacht, für die Zukunft gemacht: Liebherr-Mobilkran LTM 1110-5.2</vt:lpstr>
      <vt:lpstr>Vertraut gedacht, für die Zukunft gemacht: Liebherr-Mobilkran LTM 1110-5.2</vt:lpstr>
    </vt:vector>
  </TitlesOfParts>
  <Company>Liebherr</Company>
  <LinksUpToDate>false</LinksUpToDate>
  <CharactersWithSpaces>10469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Vertraut gedacht, für die Zukunft gemacht: Liebherr-Mobilkran LTM 1110-5.2</dc:title>
  <dc:subject/>
  <dc:creator>Goetz Manuel (LHO)</dc:creator>
  <cp:keywords/>
  <dc:description/>
  <cp:lastModifiedBy>Kuzia Astrid (LHO)</cp:lastModifiedBy>
  <cp:revision>16</cp:revision>
  <cp:lastPrinted>2021-11-22T13:25:00Z</cp:lastPrinted>
  <dcterms:created xsi:type="dcterms:W3CDTF">2021-11-16T11:40:00Z</dcterms:created>
  <dcterms:modified xsi:type="dcterms:W3CDTF">2021-11-25T10:03:00Z</dcterms:modified>
  <cp:category>Presseinformation</cp:category>
</cp:coreProperties>
</file>