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A75430" w14:textId="77777777" w:rsidR="00B73A6D" w:rsidRPr="004C1964" w:rsidRDefault="004E705B">
      <w:pPr>
        <w:pStyle w:val="Topline16Pt"/>
        <w:spacing w:before="240"/>
        <w:rPr>
          <w:rFonts w:cs="Arial"/>
        </w:rPr>
      </w:pPr>
      <w:bookmarkStart w:id="0" w:name="_Hlk75855502"/>
      <w:bookmarkEnd w:id="0"/>
      <w:r w:rsidRPr="004C1964">
        <w:t>Communiqué de presse</w:t>
      </w:r>
    </w:p>
    <w:p w14:paraId="2B557D72" w14:textId="7545D46A" w:rsidR="00B73A6D" w:rsidRPr="004C1964" w:rsidRDefault="004E705B">
      <w:pPr>
        <w:pStyle w:val="HeadlineH233Pt"/>
        <w:spacing w:line="240" w:lineRule="auto"/>
      </w:pPr>
      <w:r w:rsidRPr="004C1964">
        <w:t>La rentabilité comme caractéristique distinctive : Trois chargeuses Liebherr L </w:t>
      </w:r>
      <w:r w:rsidR="003F430B" w:rsidRPr="004C1964">
        <w:t>586</w:t>
      </w:r>
      <w:r w:rsidR="003F430B">
        <w:t> </w:t>
      </w:r>
      <w:r w:rsidRPr="004C1964">
        <w:t>XPower</w:t>
      </w:r>
      <w:r w:rsidRPr="004C1964">
        <w:rPr>
          <w:vertAlign w:val="superscript"/>
        </w:rPr>
        <w:t>®</w:t>
      </w:r>
      <w:r w:rsidRPr="004C1964">
        <w:t xml:space="preserve"> pour le groupe BTB</w:t>
      </w:r>
      <w:r w:rsidR="00C900B9">
        <w:t xml:space="preserve"> </w:t>
      </w:r>
      <w:r w:rsidRPr="004C1964">
        <w:t>Berlin</w:t>
      </w:r>
    </w:p>
    <w:p w14:paraId="09BA473F" w14:textId="77777777" w:rsidR="00B73A6D" w:rsidRPr="004C1964" w:rsidRDefault="004E705B">
      <w:pPr>
        <w:pStyle w:val="HeadlineH233Pt"/>
        <w:spacing w:before="240" w:after="240" w:line="140" w:lineRule="exact"/>
      </w:pPr>
      <w:r w:rsidRPr="004C1964">
        <w:rPr>
          <w:rFonts w:ascii="Tahoma" w:hAnsi="Tahoma"/>
        </w:rPr>
        <w:t>⸺</w:t>
      </w:r>
    </w:p>
    <w:p w14:paraId="4A4C04A4" w14:textId="2FFAEE1B" w:rsidR="00B73A6D" w:rsidRPr="00425FD8" w:rsidRDefault="004E705B" w:rsidP="00CD543D">
      <w:pPr>
        <w:pStyle w:val="Listenabsatz"/>
        <w:numPr>
          <w:ilvl w:val="0"/>
          <w:numId w:val="1"/>
        </w:numPr>
        <w:tabs>
          <w:tab w:val="left" w:pos="284"/>
        </w:tabs>
        <w:spacing w:after="0" w:line="300" w:lineRule="exact"/>
        <w:ind w:left="0" w:firstLine="0"/>
        <w:rPr>
          <w:rFonts w:ascii="Arial" w:hAnsi="Arial" w:cs="Arial"/>
          <w:b/>
          <w:bCs/>
        </w:rPr>
      </w:pPr>
      <w:r w:rsidRPr="00425FD8">
        <w:rPr>
          <w:rFonts w:ascii="Arial" w:hAnsi="Arial"/>
          <w:b/>
          <w:bCs/>
        </w:rPr>
        <w:t xml:space="preserve">Des économies de carburant conséquentes grâce à l’entraînement à </w:t>
      </w:r>
      <w:r w:rsidR="00A04477" w:rsidRPr="00425FD8">
        <w:rPr>
          <w:rFonts w:ascii="Arial" w:hAnsi="Arial"/>
          <w:b/>
          <w:bCs/>
        </w:rPr>
        <w:t>puissance partagée</w:t>
      </w:r>
      <w:r w:rsidR="00425FD8">
        <w:rPr>
          <w:rFonts w:ascii="Arial" w:hAnsi="Arial"/>
          <w:b/>
          <w:bCs/>
        </w:rPr>
        <w:t xml:space="preserve"> </w:t>
      </w:r>
      <w:r w:rsidR="00CA2E8B" w:rsidRPr="00425FD8">
        <w:rPr>
          <w:rFonts w:ascii="Arial" w:hAnsi="Arial"/>
          <w:b/>
          <w:bCs/>
        </w:rPr>
        <w:tab/>
      </w:r>
      <w:r w:rsidRPr="00425FD8">
        <w:rPr>
          <w:rFonts w:ascii="Arial" w:hAnsi="Arial"/>
          <w:b/>
          <w:bCs/>
        </w:rPr>
        <w:t>comme critère d’achat</w:t>
      </w:r>
    </w:p>
    <w:p w14:paraId="615AEFBA" w14:textId="6106FF7F" w:rsidR="00B73A6D" w:rsidRPr="004C1964" w:rsidRDefault="004E705B" w:rsidP="00A53A97">
      <w:pPr>
        <w:pStyle w:val="Listenabsatz"/>
        <w:numPr>
          <w:ilvl w:val="0"/>
          <w:numId w:val="1"/>
        </w:numPr>
        <w:tabs>
          <w:tab w:val="left" w:pos="284"/>
        </w:tabs>
        <w:spacing w:after="0" w:line="300" w:lineRule="exact"/>
        <w:ind w:left="0" w:firstLine="0"/>
      </w:pPr>
      <w:r w:rsidRPr="00425FD8">
        <w:rPr>
          <w:rFonts w:ascii="Arial" w:hAnsi="Arial"/>
          <w:b/>
          <w:bCs/>
        </w:rPr>
        <w:t>Liebherr intègre directement les peintures spéciales pour chargeuses sur pneus lors du</w:t>
      </w:r>
      <w:r w:rsidR="00425FD8">
        <w:rPr>
          <w:rFonts w:ascii="Arial" w:hAnsi="Arial"/>
          <w:b/>
          <w:bCs/>
        </w:rPr>
        <w:t xml:space="preserve"> </w:t>
      </w:r>
      <w:r w:rsidR="00CA2E8B" w:rsidRPr="00425FD8">
        <w:rPr>
          <w:rFonts w:ascii="Arial" w:hAnsi="Arial"/>
          <w:b/>
          <w:bCs/>
        </w:rPr>
        <w:tab/>
      </w:r>
      <w:r w:rsidRPr="00425FD8">
        <w:rPr>
          <w:rFonts w:ascii="Arial" w:hAnsi="Arial"/>
          <w:b/>
          <w:bCs/>
        </w:rPr>
        <w:t xml:space="preserve">processus de production </w:t>
      </w:r>
    </w:p>
    <w:p w14:paraId="6AF98A00" w14:textId="17F1D10B" w:rsidR="00B73A6D" w:rsidRPr="00425FD8" w:rsidRDefault="007C792B" w:rsidP="00E361E6">
      <w:pPr>
        <w:pStyle w:val="Listenabsatz"/>
        <w:numPr>
          <w:ilvl w:val="0"/>
          <w:numId w:val="1"/>
        </w:numPr>
        <w:tabs>
          <w:tab w:val="left" w:pos="284"/>
        </w:tabs>
        <w:spacing w:after="0" w:line="300" w:lineRule="exact"/>
        <w:ind w:left="0" w:firstLine="0"/>
        <w:rPr>
          <w:rFonts w:ascii="Arial" w:hAnsi="Arial" w:cs="Arial"/>
          <w:b/>
          <w:bCs/>
        </w:rPr>
      </w:pPr>
      <w:r w:rsidRPr="00425FD8">
        <w:rPr>
          <w:rFonts w:ascii="Arial" w:hAnsi="Arial"/>
          <w:b/>
          <w:bCs/>
        </w:rPr>
        <w:t>Les chargeuses sur pneus Liebherr permettent au groupe BTB de recycler des matériaux de</w:t>
      </w:r>
      <w:r w:rsidR="00425FD8">
        <w:rPr>
          <w:rFonts w:ascii="Arial" w:hAnsi="Arial"/>
          <w:b/>
          <w:bCs/>
        </w:rPr>
        <w:t xml:space="preserve"> </w:t>
      </w:r>
      <w:r w:rsidR="00CA2E8B" w:rsidRPr="00425FD8">
        <w:rPr>
          <w:rFonts w:ascii="Arial" w:hAnsi="Arial"/>
          <w:b/>
          <w:bCs/>
        </w:rPr>
        <w:tab/>
      </w:r>
      <w:r w:rsidRPr="00425FD8">
        <w:rPr>
          <w:rFonts w:ascii="Arial" w:hAnsi="Arial"/>
          <w:b/>
          <w:bCs/>
        </w:rPr>
        <w:t>construction</w:t>
      </w:r>
    </w:p>
    <w:p w14:paraId="41186D86" w14:textId="7EB1B2F0" w:rsidR="0094170B" w:rsidRPr="004C1964" w:rsidRDefault="004E705B">
      <w:pPr>
        <w:spacing w:before="240" w:after="300" w:line="300" w:lineRule="exact"/>
        <w:rPr>
          <w:rFonts w:ascii="Arial" w:hAnsi="Arial" w:cs="Arial"/>
          <w:b/>
          <w:bCs/>
        </w:rPr>
      </w:pPr>
      <w:r w:rsidRPr="004C1964">
        <w:rPr>
          <w:rFonts w:ascii="Arial" w:hAnsi="Arial"/>
          <w:b/>
          <w:bCs/>
        </w:rPr>
        <w:t xml:space="preserve">Ils construisent pour Berlin depuis 1990 </w:t>
      </w:r>
      <w:r w:rsidR="00425FD8">
        <w:rPr>
          <w:rFonts w:ascii="Arial" w:hAnsi="Arial"/>
          <w:b/>
          <w:bCs/>
        </w:rPr>
        <w:t>–</w:t>
      </w:r>
      <w:bookmarkStart w:id="1" w:name="_GoBack"/>
      <w:bookmarkEnd w:id="1"/>
      <w:r w:rsidRPr="004C1964">
        <w:rPr>
          <w:rFonts w:ascii="Arial" w:hAnsi="Arial"/>
          <w:b/>
          <w:bCs/>
        </w:rPr>
        <w:t xml:space="preserve"> Le groupe familial BTB Berlin offre un service complet, du terrassement au recyclage. Depuis peu, trois nouvelles chargeuses sur pneus L 586 XPower</w:t>
      </w:r>
      <w:r w:rsidRPr="004C1964">
        <w:rPr>
          <w:rFonts w:ascii="Arial" w:hAnsi="Arial"/>
          <w:b/>
          <w:bCs/>
          <w:vertAlign w:val="superscript"/>
        </w:rPr>
        <w:t>®</w:t>
      </w:r>
      <w:r w:rsidRPr="004C1964">
        <w:rPr>
          <w:rFonts w:ascii="Arial" w:hAnsi="Arial"/>
          <w:b/>
          <w:bCs/>
        </w:rPr>
        <w:t xml:space="preserve"> viennent compléter le parc de machines de l’entreprise. Elles remplacent les L 580 XPower</w:t>
      </w:r>
      <w:r w:rsidRPr="004C1964">
        <w:rPr>
          <w:rFonts w:ascii="Arial" w:hAnsi="Arial"/>
          <w:b/>
          <w:bCs/>
          <w:vertAlign w:val="superscript"/>
        </w:rPr>
        <w:t>®</w:t>
      </w:r>
      <w:r w:rsidRPr="004C1964">
        <w:rPr>
          <w:rFonts w:ascii="Arial" w:hAnsi="Arial"/>
          <w:b/>
          <w:bCs/>
        </w:rPr>
        <w:t xml:space="preserve">, acquises en 2017, qui ont assuré leur travail de manière fiable. Les économies de carburant, par rapport à d'autres chargeuses sur pneus de même taille, ont été un critère majeur dans la nouvelle décision d'achat. Les nouvelles chargeuses sur pneus sont aussi convaincantes visuellement avec leur peinture spéciale dans le design du groupe BTB. Les clés ont été </w:t>
      </w:r>
      <w:proofErr w:type="gramStart"/>
      <w:r w:rsidRPr="004C1964">
        <w:rPr>
          <w:rFonts w:ascii="Arial" w:hAnsi="Arial"/>
          <w:b/>
          <w:bCs/>
        </w:rPr>
        <w:t>remises en personne</w:t>
      </w:r>
      <w:proofErr w:type="gramEnd"/>
      <w:r w:rsidRPr="004C1964">
        <w:rPr>
          <w:rFonts w:ascii="Arial" w:hAnsi="Arial"/>
          <w:b/>
          <w:bCs/>
        </w:rPr>
        <w:t xml:space="preserve"> par Oliver </w:t>
      </w:r>
      <w:proofErr w:type="spellStart"/>
      <w:r w:rsidRPr="004C1964">
        <w:rPr>
          <w:rFonts w:ascii="Arial" w:hAnsi="Arial"/>
          <w:b/>
          <w:bCs/>
        </w:rPr>
        <w:t>Hanneck</w:t>
      </w:r>
      <w:proofErr w:type="spellEnd"/>
      <w:r w:rsidRPr="004C1964">
        <w:rPr>
          <w:rFonts w:ascii="Arial" w:hAnsi="Arial"/>
          <w:b/>
          <w:bCs/>
        </w:rPr>
        <w:t>, le vendeur responsable de Liebherr-</w:t>
      </w:r>
      <w:proofErr w:type="spellStart"/>
      <w:r w:rsidRPr="004C1964">
        <w:rPr>
          <w:rFonts w:ascii="Arial" w:hAnsi="Arial"/>
          <w:b/>
          <w:bCs/>
        </w:rPr>
        <w:t>Baumaschinen</w:t>
      </w:r>
      <w:proofErr w:type="spellEnd"/>
      <w:r w:rsidRPr="004C1964">
        <w:rPr>
          <w:rFonts w:ascii="Arial" w:hAnsi="Arial"/>
          <w:b/>
          <w:bCs/>
        </w:rPr>
        <w:t xml:space="preserve"> </w:t>
      </w:r>
      <w:proofErr w:type="spellStart"/>
      <w:r w:rsidRPr="004C1964">
        <w:rPr>
          <w:rFonts w:ascii="Arial" w:hAnsi="Arial"/>
          <w:b/>
          <w:bCs/>
        </w:rPr>
        <w:t>Vertriebs</w:t>
      </w:r>
      <w:proofErr w:type="spellEnd"/>
      <w:r w:rsidRPr="004C1964">
        <w:rPr>
          <w:rFonts w:ascii="Arial" w:hAnsi="Arial"/>
          <w:b/>
          <w:bCs/>
        </w:rPr>
        <w:t xml:space="preserve">- </w:t>
      </w:r>
      <w:proofErr w:type="spellStart"/>
      <w:r w:rsidRPr="004C1964">
        <w:rPr>
          <w:rFonts w:ascii="Arial" w:hAnsi="Arial"/>
          <w:b/>
          <w:bCs/>
        </w:rPr>
        <w:t>und</w:t>
      </w:r>
      <w:proofErr w:type="spellEnd"/>
      <w:r w:rsidRPr="004C1964">
        <w:rPr>
          <w:rFonts w:ascii="Arial" w:hAnsi="Arial"/>
          <w:b/>
          <w:bCs/>
        </w:rPr>
        <w:t xml:space="preserve"> Service GmbH de Berlin. </w:t>
      </w:r>
    </w:p>
    <w:p w14:paraId="057F155D" w14:textId="3F5533B1" w:rsidR="00D876EF" w:rsidRPr="004C1964" w:rsidRDefault="004E705B">
      <w:pPr>
        <w:spacing w:after="300" w:line="300" w:lineRule="exact"/>
        <w:rPr>
          <w:rFonts w:ascii="Arial" w:hAnsi="Arial" w:cs="Arial"/>
        </w:rPr>
      </w:pPr>
      <w:r w:rsidRPr="004C1964">
        <w:rPr>
          <w:rFonts w:ascii="Arial" w:hAnsi="Arial"/>
        </w:rPr>
        <w:t>Berlin (Allemagne), le</w:t>
      </w:r>
      <w:r w:rsidR="00C900B9">
        <w:rPr>
          <w:rFonts w:ascii="Arial" w:hAnsi="Arial"/>
        </w:rPr>
        <w:t xml:space="preserve"> </w:t>
      </w:r>
      <w:r w:rsidRPr="004C1964">
        <w:rPr>
          <w:rFonts w:ascii="Arial" w:hAnsi="Arial"/>
        </w:rPr>
        <w:t xml:space="preserve">3 </w:t>
      </w:r>
      <w:r w:rsidR="00C900B9">
        <w:rPr>
          <w:rFonts w:ascii="Arial" w:hAnsi="Arial"/>
        </w:rPr>
        <w:t>novembre</w:t>
      </w:r>
      <w:r w:rsidRPr="004C1964">
        <w:rPr>
          <w:rFonts w:ascii="Arial" w:hAnsi="Arial"/>
        </w:rPr>
        <w:t xml:space="preserve"> 2021 – Depuis peu, les trois nouvelles L 586 XPower</w:t>
      </w:r>
      <w:r w:rsidRPr="004C1964">
        <w:rPr>
          <w:rFonts w:ascii="Arial" w:hAnsi="Arial"/>
          <w:vertAlign w:val="superscript"/>
        </w:rPr>
        <w:t>®</w:t>
      </w:r>
      <w:r w:rsidRPr="004C1964">
        <w:rPr>
          <w:rFonts w:ascii="Arial" w:hAnsi="Arial"/>
        </w:rPr>
        <w:t xml:space="preserve"> sont utilisées dans les 25 hectares de la grande centrale de recyclage du groupe BTB. Plusieurs installations de recyclage approuvées par la loi fédérale sur la protection contre les émissions (</w:t>
      </w:r>
      <w:proofErr w:type="spellStart"/>
      <w:r w:rsidR="00C900B9" w:rsidRPr="00A14D03">
        <w:rPr>
          <w:rFonts w:ascii="Arial" w:hAnsi="Arial" w:cs="Arial"/>
        </w:rPr>
        <w:t>BImSchG</w:t>
      </w:r>
      <w:proofErr w:type="spellEnd"/>
      <w:r w:rsidRPr="004C1964">
        <w:rPr>
          <w:rFonts w:ascii="Arial" w:hAnsi="Arial"/>
        </w:rPr>
        <w:t>) sont exploitées sur l'ensemble du site et jusqu'à 1 million de tonnes de déchets de construction minéraux et non minéraux sont traités, transvasés et recyclés chaque année. Ici, les nouvelles chargeuses sur pneus Liebherr alimentent les installations de concassage et de criblage en déchets de construction et chargent les camions de matériaux traités. Les L 586 XPower</w:t>
      </w:r>
      <w:r w:rsidRPr="004C1964">
        <w:rPr>
          <w:rFonts w:ascii="Arial" w:hAnsi="Arial"/>
          <w:vertAlign w:val="superscript"/>
        </w:rPr>
        <w:t>®</w:t>
      </w:r>
      <w:r w:rsidRPr="004C1964">
        <w:rPr>
          <w:rFonts w:ascii="Arial" w:hAnsi="Arial"/>
        </w:rPr>
        <w:t xml:space="preserve">, les plus grandes chargeuses sur pneus de Liebherr, n'ont besoin que de deux à trois cycles de chargement pour remplir un camion. Elles assurent ainsi une manutention rapide et économe en ressources des matières. </w:t>
      </w:r>
    </w:p>
    <w:p w14:paraId="5516D720" w14:textId="77777777" w:rsidR="001D1D04" w:rsidRPr="004C1964" w:rsidRDefault="004E705B">
      <w:pPr>
        <w:spacing w:after="300" w:line="300" w:lineRule="exact"/>
        <w:rPr>
          <w:rFonts w:ascii="Arial" w:hAnsi="Arial"/>
          <w:b/>
          <w:bCs/>
        </w:rPr>
      </w:pPr>
      <w:r w:rsidRPr="004C1964">
        <w:rPr>
          <w:rFonts w:ascii="Arial" w:hAnsi="Arial"/>
          <w:b/>
          <w:bCs/>
        </w:rPr>
        <w:t xml:space="preserve">Rentabilité et économie des ressources grâce au mécanisme de translation à </w:t>
      </w:r>
      <w:r w:rsidR="001D1D04" w:rsidRPr="004C1964">
        <w:rPr>
          <w:rFonts w:ascii="Arial" w:hAnsi="Arial"/>
          <w:b/>
          <w:bCs/>
        </w:rPr>
        <w:t xml:space="preserve">puissance partagée </w:t>
      </w:r>
    </w:p>
    <w:p w14:paraId="2832DA15" w14:textId="6E2C70BD" w:rsidR="00B73A6D" w:rsidRPr="004C1964" w:rsidRDefault="004E705B">
      <w:pPr>
        <w:spacing w:after="300" w:line="300" w:lineRule="exact"/>
        <w:rPr>
          <w:rFonts w:ascii="Arial" w:hAnsi="Arial" w:cs="Arial"/>
        </w:rPr>
      </w:pPr>
      <w:r w:rsidRPr="004C1964">
        <w:rPr>
          <w:rFonts w:ascii="Arial" w:hAnsi="Arial"/>
        </w:rPr>
        <w:t xml:space="preserve">« Puissance, efficacité et économie de carburant plus nette que la concurrence, telles sont les raisons de notre décision d'achat », révèle le propriétaire de l'entreprise BTB Berlin, Philip </w:t>
      </w:r>
      <w:proofErr w:type="spellStart"/>
      <w:r w:rsidRPr="004C1964">
        <w:rPr>
          <w:rFonts w:ascii="Arial" w:hAnsi="Arial"/>
        </w:rPr>
        <w:t>Breul</w:t>
      </w:r>
      <w:proofErr w:type="spellEnd"/>
      <w:r w:rsidRPr="004C1964">
        <w:rPr>
          <w:rFonts w:ascii="Arial" w:hAnsi="Arial"/>
        </w:rPr>
        <w:t xml:space="preserve">. Le concept d’entraînement à </w:t>
      </w:r>
      <w:r w:rsidR="001D1D04" w:rsidRPr="00C900B9">
        <w:rPr>
          <w:rFonts w:ascii="Arial" w:hAnsi="Arial"/>
        </w:rPr>
        <w:t xml:space="preserve">puissance partagée </w:t>
      </w:r>
      <w:r w:rsidRPr="004C1964">
        <w:rPr>
          <w:rFonts w:ascii="Arial" w:hAnsi="Arial"/>
        </w:rPr>
        <w:t xml:space="preserve">de la chargeuse sur pneus </w:t>
      </w:r>
      <w:r w:rsidR="00C900B9" w:rsidRPr="004C1964">
        <w:rPr>
          <w:rFonts w:ascii="Arial" w:hAnsi="Arial"/>
        </w:rPr>
        <w:t>XPower</w:t>
      </w:r>
      <w:r w:rsidR="00C900B9" w:rsidRPr="004C1964">
        <w:rPr>
          <w:rFonts w:ascii="Arial" w:hAnsi="Arial"/>
          <w:vertAlign w:val="superscript"/>
        </w:rPr>
        <w:t>®</w:t>
      </w:r>
      <w:r w:rsidRPr="004C1964">
        <w:rPr>
          <w:rFonts w:ascii="Arial" w:hAnsi="Arial"/>
        </w:rPr>
        <w:t xml:space="preserve"> en est la raison. XPower</w:t>
      </w:r>
      <w:r w:rsidRPr="004C1964">
        <w:rPr>
          <w:rFonts w:ascii="Arial" w:hAnsi="Arial"/>
          <w:vertAlign w:val="superscript"/>
        </w:rPr>
        <w:t>®</w:t>
      </w:r>
      <w:r w:rsidRPr="004C1964">
        <w:rPr>
          <w:rFonts w:ascii="Arial" w:hAnsi="Arial"/>
        </w:rPr>
        <w:t xml:space="preserve"> est </w:t>
      </w:r>
      <w:r w:rsidRPr="004C1964">
        <w:rPr>
          <w:rFonts w:ascii="Arial" w:hAnsi="Arial"/>
        </w:rPr>
        <w:lastRenderedPageBreak/>
        <w:t xml:space="preserve">une combinaison d’entraînement hydrostatique et mécanique. L’interaction de ces types d’entraînement s’adapte automatiquement et progressivement à chaque intervention. Cette caractéristique, associée au Liebherr Power </w:t>
      </w:r>
      <w:proofErr w:type="spellStart"/>
      <w:r w:rsidRPr="004C1964">
        <w:rPr>
          <w:rFonts w:ascii="Arial" w:hAnsi="Arial"/>
        </w:rPr>
        <w:t>Efficiency</w:t>
      </w:r>
      <w:proofErr w:type="spellEnd"/>
      <w:r w:rsidRPr="004C1964">
        <w:rPr>
          <w:rFonts w:ascii="Arial" w:hAnsi="Arial"/>
        </w:rPr>
        <w:t xml:space="preserve"> (LPE), permet de réduire la consommation de carburant jusqu'à 30 % par rapport aux autres chargeuses sur pneus de cette catégorie.</w:t>
      </w:r>
    </w:p>
    <w:p w14:paraId="0E30A6A8" w14:textId="77777777" w:rsidR="00B73A6D" w:rsidRDefault="004E705B">
      <w:pPr>
        <w:spacing w:after="300" w:line="300" w:lineRule="exact"/>
        <w:rPr>
          <w:rFonts w:ascii="Arial" w:hAnsi="Arial" w:cs="Arial"/>
          <w:b/>
          <w:bCs/>
        </w:rPr>
      </w:pPr>
      <w:r>
        <w:rPr>
          <w:rFonts w:ascii="Arial" w:hAnsi="Arial"/>
          <w:b/>
          <w:bCs/>
        </w:rPr>
        <w:t xml:space="preserve">Liebherr intègre directement les peintures spéciales pour chargeuses sur pneus lors du processus de production </w:t>
      </w:r>
    </w:p>
    <w:p w14:paraId="7B763120" w14:textId="06AF0765" w:rsidR="00B73A6D" w:rsidRDefault="004E705B">
      <w:pPr>
        <w:spacing w:after="300" w:line="300" w:lineRule="exact"/>
        <w:rPr>
          <w:rFonts w:ascii="Arial" w:hAnsi="Arial" w:cs="Arial"/>
        </w:rPr>
      </w:pPr>
      <w:r>
        <w:rPr>
          <w:rFonts w:ascii="Arial" w:hAnsi="Arial"/>
        </w:rPr>
        <w:t>Pour de nombreuses entreprises, le fait de faire peindre leur flotte de machines selon leur propre design représente une valeur de reconnaissance optimale. C'est pourquoi le groupe BTB a commandé les trois nouvelles L 586 XPower</w:t>
      </w:r>
      <w:r>
        <w:rPr>
          <w:rFonts w:ascii="Arial" w:hAnsi="Arial"/>
          <w:vertAlign w:val="superscript"/>
        </w:rPr>
        <w:t>®</w:t>
      </w:r>
      <w:r>
        <w:rPr>
          <w:rFonts w:ascii="Arial" w:hAnsi="Arial"/>
        </w:rPr>
        <w:t xml:space="preserve"> de Liebherr aux couleurs de son entreprise. Les spécialistes de Liebherr-</w:t>
      </w:r>
      <w:proofErr w:type="spellStart"/>
      <w:r>
        <w:rPr>
          <w:rFonts w:ascii="Arial" w:hAnsi="Arial"/>
        </w:rPr>
        <w:t>Werk</w:t>
      </w:r>
      <w:proofErr w:type="spellEnd"/>
      <w:r>
        <w:rPr>
          <w:rFonts w:ascii="Arial" w:hAnsi="Arial"/>
        </w:rPr>
        <w:t xml:space="preserve"> </w:t>
      </w:r>
      <w:proofErr w:type="spellStart"/>
      <w:r>
        <w:rPr>
          <w:rFonts w:ascii="Arial" w:hAnsi="Arial"/>
        </w:rPr>
        <w:t>Bischofshofen</w:t>
      </w:r>
      <w:proofErr w:type="spellEnd"/>
      <w:r>
        <w:rPr>
          <w:rFonts w:ascii="Arial" w:hAnsi="Arial"/>
        </w:rPr>
        <w:t xml:space="preserve"> mettent en œuvre des finitions de peinture spéciales directement pendant le processus de production. Cela signifie que les différents composants sont déjà peints avant le montage, puis intégrés dans le processus de production normal. Cette procédure permet d'éviter de peindre la machine une fois terminée et de faire des retouches manuelles. Liebherr atteint ainsi une qualité supérieure pour les peintures spéciales. </w:t>
      </w:r>
    </w:p>
    <w:p w14:paraId="00479E60" w14:textId="77777777" w:rsidR="00B73A6D" w:rsidRDefault="004E705B">
      <w:pPr>
        <w:spacing w:after="300" w:line="300" w:lineRule="exact"/>
        <w:rPr>
          <w:rFonts w:ascii="Arial" w:hAnsi="Arial" w:cs="Arial"/>
          <w:b/>
          <w:bCs/>
        </w:rPr>
      </w:pPr>
      <w:r>
        <w:rPr>
          <w:rFonts w:ascii="Arial" w:hAnsi="Arial"/>
          <w:b/>
          <w:bCs/>
        </w:rPr>
        <w:t>Orientée vers le futur et innovatrice : BTB est une entreprise familiale en pleine expansion</w:t>
      </w:r>
    </w:p>
    <w:p w14:paraId="56938531" w14:textId="560F1FFD" w:rsidR="00B73A6D" w:rsidRDefault="004E705B">
      <w:pPr>
        <w:spacing w:after="300" w:line="300" w:lineRule="exact"/>
        <w:rPr>
          <w:rFonts w:ascii="Arial" w:hAnsi="Arial" w:cs="Arial"/>
        </w:rPr>
      </w:pPr>
      <w:r>
        <w:rPr>
          <w:rFonts w:ascii="Arial" w:hAnsi="Arial"/>
        </w:rPr>
        <w:t xml:space="preserve">Tout comme Liebherr, le groupe BTB est une entreprise familiale, synonyme de polyvalence dans le secteur de la construction. En 1990, </w:t>
      </w:r>
      <w:proofErr w:type="spellStart"/>
      <w:r>
        <w:rPr>
          <w:rFonts w:ascii="Arial" w:hAnsi="Arial"/>
        </w:rPr>
        <w:t>Reimar</w:t>
      </w:r>
      <w:proofErr w:type="spellEnd"/>
      <w:r>
        <w:rPr>
          <w:rFonts w:ascii="Arial" w:hAnsi="Arial"/>
        </w:rPr>
        <w:t xml:space="preserve"> </w:t>
      </w:r>
      <w:proofErr w:type="spellStart"/>
      <w:r>
        <w:rPr>
          <w:rFonts w:ascii="Arial" w:hAnsi="Arial"/>
        </w:rPr>
        <w:t>Breul</w:t>
      </w:r>
      <w:proofErr w:type="spellEnd"/>
      <w:r>
        <w:rPr>
          <w:rFonts w:ascii="Arial" w:hAnsi="Arial"/>
        </w:rPr>
        <w:t xml:space="preserve"> a fondé cette entreprise qui n'a, depuis, cessé de croître et qui compte aujourd'hui plus de 100 employés. En tant que spécialiste du génie civil, de la démolition, de l'élimination des déchets et du recyclage, BTB est responsable de nombreux grands chantiers dans la région de Berlin. L'entreprise est tournée vers l'avenir dans le domaine du recyclage et utilise des systèmes innovants pour produire de nouveaux matériaux de construction à partir de déchets de construction autrefois inutiles. De nombreuses machines de construction de Liebherr font partie de cette aventure.</w:t>
      </w:r>
    </w:p>
    <w:p w14:paraId="74698B1B" w14:textId="77777777" w:rsidR="00B73A6D" w:rsidRPr="00A71A15" w:rsidRDefault="004E705B">
      <w:pPr>
        <w:pStyle w:val="BoilerplateCopyhead9Pt"/>
        <w:rPr>
          <w:rFonts w:cs="Arial"/>
        </w:rPr>
      </w:pPr>
      <w:r w:rsidRPr="00A71A15">
        <w:t>À propos de Liebherr-Werk Bischofshofen GmbH</w:t>
      </w:r>
    </w:p>
    <w:p w14:paraId="100A7F07" w14:textId="5EB07243" w:rsidR="00B73A6D" w:rsidRPr="007C792B" w:rsidRDefault="004E705B">
      <w:pPr>
        <w:pStyle w:val="BoilerplateCopytext9Pt"/>
      </w:pPr>
      <w:r>
        <w:t>Liebherr-</w:t>
      </w:r>
      <w:proofErr w:type="spellStart"/>
      <w:r>
        <w:t>Werk</w:t>
      </w:r>
      <w:proofErr w:type="spellEnd"/>
      <w:r>
        <w:t xml:space="preserve"> </w:t>
      </w:r>
      <w:proofErr w:type="spellStart"/>
      <w:r>
        <w:t>Bischofshofen</w:t>
      </w:r>
      <w:proofErr w:type="spellEnd"/>
      <w:r>
        <w:t xml:space="preserve"> </w:t>
      </w:r>
      <w:proofErr w:type="spellStart"/>
      <w:r>
        <w:t>GmbH</w:t>
      </w:r>
      <w:proofErr w:type="spellEnd"/>
      <w:r>
        <w:t xml:space="preserve"> conçoit, fabrique et distribue les modèles de chargeuses sur pneus du Groupe Liebherr. Le site à proximité de Salzbourg (Autriche) n’a cessé de croître depuis plusieurs décennies grâce à des innovations durables, des solutions créatives et des standards de qualité élevés. La gamme de chargeuses sur pneus est sans cesse agrandie et comprend différents modèles dans quatre groupes de produits différents : chargeuses Compact, chargeuses Stéréo, chargeuses sur pneus polyvalentes de la gamme intermédiaire et grandes chargeuses sur pneus, qui séduisent par leurs systèmes d’entraînement innovants.</w:t>
      </w:r>
    </w:p>
    <w:p w14:paraId="7DB7D886" w14:textId="77777777" w:rsidR="00B73A6D" w:rsidRDefault="004E705B">
      <w:pPr>
        <w:pStyle w:val="BoilerplateCopyhead9Pt"/>
        <w:rPr>
          <w:rFonts w:cs="Arial"/>
        </w:rPr>
      </w:pPr>
      <w:r>
        <w:t>À propos du Groupe Liebherr</w:t>
      </w:r>
    </w:p>
    <w:p w14:paraId="10FA9A99" w14:textId="77777777" w:rsidR="00B73A6D" w:rsidRDefault="004E705B">
      <w:pPr>
        <w:pStyle w:val="BoilerplateCopytext9Pt"/>
        <w:rPr>
          <w:rFonts w:cs="Arial"/>
        </w:rPr>
      </w:pPr>
      <w:r>
        <w:t xml:space="preserve">Le Groupe Liebherr est une entreprise technologique familiale proposant une gamme de produits très diversifiée. L'entreprise figure parmi les plus grands fabricants mondiaux d’engins de construction, mais offre également dans de nombreux autres domaines des produits et services haut de gamme axés sur les besoins des utilisateurs. Le Groupe compte aujourd’hui plus de 140 sociétés sur tous les continents, emploie 48 000 personnes et a enregistré en 2020 un chiffre d’affaires consolidé de plus de 10,3 milliards d’euros. Depuis sa création en 1949 à </w:t>
      </w:r>
      <w:proofErr w:type="spellStart"/>
      <w:r>
        <w:t>Kirchdorf</w:t>
      </w:r>
      <w:proofErr w:type="spellEnd"/>
      <w:r>
        <w:t xml:space="preserve"> an der Iller, dans le sud de l’Allemagne, Liebherr a pour objectif de convaincre ses clients par des solutions exigeantes tout en contribuant au progrès technique.</w:t>
      </w:r>
    </w:p>
    <w:p w14:paraId="74037132" w14:textId="77777777" w:rsidR="00B96538" w:rsidRDefault="00B96538">
      <w:pPr>
        <w:suppressAutoHyphens w:val="0"/>
        <w:rPr>
          <w:rFonts w:ascii="Arial" w:hAnsi="Arial"/>
          <w:b/>
          <w:bCs/>
        </w:rPr>
      </w:pPr>
      <w:r>
        <w:rPr>
          <w:rFonts w:ascii="Arial" w:hAnsi="Arial"/>
          <w:b/>
          <w:bCs/>
        </w:rPr>
        <w:br w:type="page"/>
      </w:r>
    </w:p>
    <w:p w14:paraId="79099441" w14:textId="606DEBFF" w:rsidR="00B73A6D" w:rsidRPr="00B96538" w:rsidRDefault="004E705B">
      <w:pPr>
        <w:suppressAutoHyphens w:val="0"/>
        <w:rPr>
          <w:rFonts w:ascii="Arial" w:hAnsi="Arial"/>
          <w:b/>
          <w:bCs/>
        </w:rPr>
      </w:pPr>
      <w:r>
        <w:rPr>
          <w:rFonts w:ascii="Arial" w:hAnsi="Arial"/>
          <w:b/>
          <w:bCs/>
        </w:rPr>
        <w:lastRenderedPageBreak/>
        <w:t>Photos</w:t>
      </w:r>
    </w:p>
    <w:p w14:paraId="7F89760C" w14:textId="77777777" w:rsidR="00B73A6D" w:rsidRDefault="004E705B" w:rsidP="007447A1">
      <w:pPr>
        <w:pStyle w:val="Caption9Pt"/>
      </w:pPr>
      <w:bookmarkStart w:id="2" w:name="_Hlk82758211"/>
      <w:r>
        <w:rPr>
          <w:noProof/>
          <w:lang w:eastAsia="de-DE"/>
        </w:rPr>
        <w:drawing>
          <wp:inline distT="0" distB="0" distL="0" distR="0" wp14:anchorId="7D612933" wp14:editId="13767C2C">
            <wp:extent cx="2696401" cy="1796402"/>
            <wp:effectExtent l="0" t="0" r="8699" b="0"/>
            <wp:docPr id="2" name="Grafik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rcRect/>
                    <a:stretch>
                      <a:fillRect/>
                    </a:stretch>
                  </pic:blipFill>
                  <pic:spPr>
                    <a:xfrm>
                      <a:off x="0" y="0"/>
                      <a:ext cx="2696401" cy="1796402"/>
                    </a:xfrm>
                    <a:prstGeom prst="rect">
                      <a:avLst/>
                    </a:prstGeom>
                    <a:noFill/>
                    <a:ln>
                      <a:noFill/>
                      <a:prstDash/>
                    </a:ln>
                  </pic:spPr>
                </pic:pic>
              </a:graphicData>
            </a:graphic>
          </wp:inline>
        </w:drawing>
      </w:r>
    </w:p>
    <w:p w14:paraId="4C6895F4" w14:textId="5BE60B0C" w:rsidR="00B73A6D" w:rsidRPr="00C900B9" w:rsidRDefault="00C900B9" w:rsidP="00C900B9">
      <w:pPr>
        <w:pStyle w:val="Caption9Pt"/>
        <w:rPr>
          <w:lang w:val="fr-FR"/>
        </w:rPr>
      </w:pPr>
      <w:r w:rsidRPr="00C900B9">
        <w:rPr>
          <w:lang w:val="fr-FR"/>
        </w:rPr>
        <w:t>liebherr-wheel-loader-l586-btb-gruppe.jpg</w:t>
      </w:r>
      <w:r w:rsidRPr="00C900B9">
        <w:rPr>
          <w:lang w:val="fr-FR"/>
        </w:rPr>
        <w:br/>
      </w:r>
      <w:r w:rsidR="004E705B" w:rsidRPr="00C900B9">
        <w:rPr>
          <w:lang w:val="fr-FR"/>
        </w:rPr>
        <w:t>Une des nouvelles</w:t>
      </w:r>
      <w:r>
        <w:rPr>
          <w:lang w:val="fr-FR"/>
        </w:rPr>
        <w:t xml:space="preserve"> chargeuses</w:t>
      </w:r>
      <w:r w:rsidR="004E705B" w:rsidRPr="00C900B9">
        <w:rPr>
          <w:lang w:val="fr-FR"/>
        </w:rPr>
        <w:t xml:space="preserve"> L 586 XPower</w:t>
      </w:r>
      <w:r w:rsidR="004E705B" w:rsidRPr="00C900B9">
        <w:rPr>
          <w:vertAlign w:val="superscript"/>
          <w:lang w:val="fr-FR"/>
        </w:rPr>
        <w:t>®</w:t>
      </w:r>
      <w:r w:rsidR="004E705B" w:rsidRPr="00C900B9">
        <w:rPr>
          <w:lang w:val="fr-FR"/>
        </w:rPr>
        <w:t xml:space="preserve"> de BTB.</w:t>
      </w:r>
    </w:p>
    <w:p w14:paraId="634D907F" w14:textId="77777777" w:rsidR="00B73A6D" w:rsidRPr="00C900B9" w:rsidRDefault="00B73A6D">
      <w:pPr>
        <w:jc w:val="both"/>
        <w:rPr>
          <w:rFonts w:ascii="Arial" w:hAnsi="Arial" w:cs="Arial"/>
        </w:rPr>
      </w:pPr>
    </w:p>
    <w:p w14:paraId="31AD56B1" w14:textId="77777777" w:rsidR="00B73A6D" w:rsidRDefault="004E705B" w:rsidP="007447A1">
      <w:pPr>
        <w:pStyle w:val="Caption9Pt"/>
      </w:pPr>
      <w:r>
        <w:rPr>
          <w:noProof/>
          <w:lang w:eastAsia="de-DE"/>
        </w:rPr>
        <w:drawing>
          <wp:inline distT="0" distB="0" distL="0" distR="0" wp14:anchorId="4386542A" wp14:editId="1357A13B">
            <wp:extent cx="2696401" cy="1519202"/>
            <wp:effectExtent l="0" t="0" r="8699" b="4798"/>
            <wp:docPr id="3" name="Grafik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rcRect/>
                    <a:stretch>
                      <a:fillRect/>
                    </a:stretch>
                  </pic:blipFill>
                  <pic:spPr>
                    <a:xfrm>
                      <a:off x="0" y="0"/>
                      <a:ext cx="2696401" cy="1519202"/>
                    </a:xfrm>
                    <a:prstGeom prst="rect">
                      <a:avLst/>
                    </a:prstGeom>
                    <a:noFill/>
                    <a:ln>
                      <a:noFill/>
                      <a:prstDash/>
                    </a:ln>
                  </pic:spPr>
                </pic:pic>
              </a:graphicData>
            </a:graphic>
          </wp:inline>
        </w:drawing>
      </w:r>
    </w:p>
    <w:p w14:paraId="73030A96" w14:textId="04D0CAD8" w:rsidR="00B73A6D" w:rsidRPr="00C900B9" w:rsidRDefault="00C900B9" w:rsidP="00C900B9">
      <w:pPr>
        <w:pStyle w:val="Caption9Pt"/>
        <w:rPr>
          <w:lang w:val="fr-FR"/>
        </w:rPr>
      </w:pPr>
      <w:r w:rsidRPr="00C900B9">
        <w:rPr>
          <w:lang w:val="fr-FR"/>
        </w:rPr>
        <w:t>liebherr-three-new-wheel-loaders-l586-for-btb-gruppe.jpg</w:t>
      </w:r>
      <w:r w:rsidRPr="00C900B9">
        <w:rPr>
          <w:lang w:val="fr-FR"/>
        </w:rPr>
        <w:br/>
      </w:r>
      <w:r w:rsidR="004E705B" w:rsidRPr="00C900B9">
        <w:rPr>
          <w:lang w:val="fr-FR"/>
        </w:rPr>
        <w:t xml:space="preserve">Les trois nouvelles chargeuses sur pneus de Liebherr aux couleurs du groupe BTB. </w:t>
      </w:r>
    </w:p>
    <w:p w14:paraId="56BA08D6" w14:textId="77777777" w:rsidR="00B73A6D" w:rsidRDefault="00B73A6D">
      <w:pPr>
        <w:jc w:val="both"/>
        <w:rPr>
          <w:rFonts w:ascii="Arial" w:hAnsi="Arial" w:cs="Arial"/>
        </w:rPr>
      </w:pPr>
    </w:p>
    <w:p w14:paraId="39F1ECC2" w14:textId="77777777" w:rsidR="00B73A6D" w:rsidRDefault="004E705B" w:rsidP="007447A1">
      <w:pPr>
        <w:pStyle w:val="Caption9Pt"/>
      </w:pPr>
      <w:r>
        <w:rPr>
          <w:noProof/>
          <w:lang w:eastAsia="de-DE"/>
        </w:rPr>
        <w:drawing>
          <wp:inline distT="0" distB="0" distL="0" distR="0" wp14:anchorId="23D12356" wp14:editId="294557FC">
            <wp:extent cx="2696401" cy="1798798"/>
            <wp:effectExtent l="0" t="0" r="8699" b="0"/>
            <wp:docPr id="4" name="Grafik 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rcRect/>
                    <a:stretch>
                      <a:fillRect/>
                    </a:stretch>
                  </pic:blipFill>
                  <pic:spPr>
                    <a:xfrm>
                      <a:off x="0" y="0"/>
                      <a:ext cx="2696401" cy="1798798"/>
                    </a:xfrm>
                    <a:prstGeom prst="rect">
                      <a:avLst/>
                    </a:prstGeom>
                    <a:noFill/>
                    <a:ln>
                      <a:noFill/>
                      <a:prstDash/>
                    </a:ln>
                  </pic:spPr>
                </pic:pic>
              </a:graphicData>
            </a:graphic>
          </wp:inline>
        </w:drawing>
      </w:r>
    </w:p>
    <w:p w14:paraId="5F7EA920" w14:textId="4EF59D0D" w:rsidR="00B73A6D" w:rsidRPr="00C900B9" w:rsidRDefault="00C900B9" w:rsidP="00C900B9">
      <w:pPr>
        <w:pStyle w:val="Caption9Pt"/>
        <w:rPr>
          <w:lang w:val="fr-FR"/>
        </w:rPr>
      </w:pPr>
      <w:r w:rsidRPr="00C900B9">
        <w:rPr>
          <w:lang w:val="fr-FR"/>
        </w:rPr>
        <w:t>liebherr-wheel-loaders-l586-xpower-machine-handover-btb-gruppe.jpg</w:t>
      </w:r>
      <w:r w:rsidRPr="00C900B9">
        <w:rPr>
          <w:lang w:val="fr-FR"/>
        </w:rPr>
        <w:br/>
      </w:r>
      <w:r w:rsidR="004E705B" w:rsidRPr="00C900B9">
        <w:rPr>
          <w:lang w:val="fr-FR"/>
        </w:rPr>
        <w:t xml:space="preserve">Oliver </w:t>
      </w:r>
      <w:proofErr w:type="spellStart"/>
      <w:r w:rsidR="004E705B" w:rsidRPr="00C900B9">
        <w:rPr>
          <w:lang w:val="fr-FR"/>
        </w:rPr>
        <w:t>Hanneck</w:t>
      </w:r>
      <w:proofErr w:type="spellEnd"/>
      <w:r w:rsidR="004E705B" w:rsidRPr="00C900B9">
        <w:rPr>
          <w:lang w:val="fr-FR"/>
        </w:rPr>
        <w:t xml:space="preserve"> (au centre) remet les chargeuses sur pneus L 586 XPower</w:t>
      </w:r>
      <w:r w:rsidR="004E705B" w:rsidRPr="00C900B9">
        <w:rPr>
          <w:vertAlign w:val="superscript"/>
          <w:lang w:val="fr-FR"/>
        </w:rPr>
        <w:t>®</w:t>
      </w:r>
      <w:r w:rsidR="004E705B" w:rsidRPr="00C900B9">
        <w:rPr>
          <w:lang w:val="fr-FR"/>
        </w:rPr>
        <w:t xml:space="preserve"> aux conducteurs.</w:t>
      </w:r>
      <w:r w:rsidR="004F36BE">
        <w:rPr>
          <w:lang w:val="fr-FR"/>
        </w:rPr>
        <w:t xml:space="preserve"> </w:t>
      </w:r>
      <w:r w:rsidR="004F36BE">
        <w:rPr>
          <w:rFonts w:eastAsia="Times New Roman"/>
          <w:lang w:val="fr-FR"/>
        </w:rPr>
        <w:t xml:space="preserve">Les </w:t>
      </w:r>
      <w:r w:rsidR="004F36BE" w:rsidRPr="004D1A96">
        <w:rPr>
          <w:rFonts w:eastAsia="Times New Roman"/>
          <w:lang w:val="fr-FR"/>
        </w:rPr>
        <w:t>prescriptions</w:t>
      </w:r>
      <w:r w:rsidR="004F36BE">
        <w:rPr>
          <w:rFonts w:eastAsia="Times New Roman"/>
          <w:lang w:val="fr-FR"/>
        </w:rPr>
        <w:t xml:space="preserve"> locales corona en vigueur ont été respectées.</w:t>
      </w:r>
    </w:p>
    <w:bookmarkEnd w:id="2"/>
    <w:p w14:paraId="69E4826F" w14:textId="77777777" w:rsidR="004F36BE" w:rsidRDefault="004F36BE">
      <w:pPr>
        <w:suppressAutoHyphens w:val="0"/>
        <w:rPr>
          <w:rFonts w:ascii="Arial" w:eastAsia="Times New Roman" w:hAnsi="Arial"/>
          <w:b/>
          <w:szCs w:val="18"/>
          <w:lang w:eastAsia="de-DE"/>
        </w:rPr>
      </w:pPr>
      <w:r>
        <w:br w:type="page"/>
      </w:r>
    </w:p>
    <w:p w14:paraId="231DAA54" w14:textId="3D4DB9FA" w:rsidR="00B73A6D" w:rsidRDefault="004E705B">
      <w:pPr>
        <w:pStyle w:val="Copyhead11Pt"/>
        <w:rPr>
          <w:rFonts w:cs="Arial"/>
        </w:rPr>
      </w:pPr>
      <w:r>
        <w:lastRenderedPageBreak/>
        <w:t>Interlocuteur</w:t>
      </w:r>
    </w:p>
    <w:p w14:paraId="441C1283" w14:textId="0A2DD597" w:rsidR="00B73A6D" w:rsidRPr="007C792B" w:rsidRDefault="004E705B">
      <w:pPr>
        <w:pStyle w:val="Copytext11Pt"/>
      </w:pPr>
      <w:r>
        <w:t>Martin Koller</w:t>
      </w:r>
      <w:r>
        <w:br/>
        <w:t>Marketing et Public Relations</w:t>
      </w:r>
      <w:r>
        <w:br/>
        <w:t>Téléphone : +</w:t>
      </w:r>
      <w:r>
        <w:rPr>
          <w:color w:val="000000"/>
          <w:szCs w:val="22"/>
        </w:rPr>
        <w:t>43 50809 11475</w:t>
      </w:r>
      <w:r>
        <w:br/>
        <w:t xml:space="preserve">Courriel : </w:t>
      </w:r>
      <w:r w:rsidR="004F36BE" w:rsidRPr="00A71A15">
        <w:t>martin.koller.lbh@liebherr.com</w:t>
      </w:r>
    </w:p>
    <w:p w14:paraId="03FEF5B3" w14:textId="77777777" w:rsidR="00B73A6D" w:rsidRPr="00A04477" w:rsidRDefault="004E705B">
      <w:pPr>
        <w:pStyle w:val="Copyhead11Pt"/>
        <w:rPr>
          <w:rFonts w:cs="Arial"/>
          <w:lang w:val="de-DE"/>
        </w:rPr>
      </w:pPr>
      <w:proofErr w:type="spellStart"/>
      <w:r w:rsidRPr="00A04477">
        <w:rPr>
          <w:lang w:val="de-DE"/>
        </w:rPr>
        <w:t>Publié</w:t>
      </w:r>
      <w:proofErr w:type="spellEnd"/>
      <w:r w:rsidRPr="00A04477">
        <w:rPr>
          <w:lang w:val="de-DE"/>
        </w:rPr>
        <w:t xml:space="preserve"> par</w:t>
      </w:r>
    </w:p>
    <w:p w14:paraId="672479CA" w14:textId="12F2DDA6" w:rsidR="00B73A6D" w:rsidRPr="00A04477" w:rsidRDefault="004E705B">
      <w:pPr>
        <w:pStyle w:val="Copytext11Pt"/>
        <w:rPr>
          <w:lang w:val="de-DE"/>
        </w:rPr>
      </w:pPr>
      <w:r w:rsidRPr="00A04477">
        <w:rPr>
          <w:lang w:val="de-DE"/>
        </w:rPr>
        <w:t xml:space="preserve">Liebherr-Werk </w:t>
      </w:r>
      <w:proofErr w:type="spellStart"/>
      <w:r w:rsidRPr="00A04477">
        <w:rPr>
          <w:lang w:val="de-DE"/>
        </w:rPr>
        <w:t>Bischofshofen</w:t>
      </w:r>
      <w:proofErr w:type="spellEnd"/>
      <w:r w:rsidRPr="00A04477">
        <w:rPr>
          <w:lang w:val="de-DE"/>
        </w:rPr>
        <w:t xml:space="preserve"> GmbH</w:t>
      </w:r>
      <w:r w:rsidRPr="00A04477">
        <w:rPr>
          <w:lang w:val="de-DE"/>
        </w:rPr>
        <w:br/>
      </w:r>
      <w:proofErr w:type="spellStart"/>
      <w:r w:rsidRPr="00A04477">
        <w:rPr>
          <w:lang w:val="de-DE"/>
        </w:rPr>
        <w:t>Bischofshofen</w:t>
      </w:r>
      <w:proofErr w:type="spellEnd"/>
      <w:r w:rsidRPr="00A04477">
        <w:rPr>
          <w:lang w:val="de-DE"/>
        </w:rPr>
        <w:t>/</w:t>
      </w:r>
      <w:proofErr w:type="spellStart"/>
      <w:r w:rsidRPr="00A04477">
        <w:rPr>
          <w:lang w:val="de-DE"/>
        </w:rPr>
        <w:t>Autriche</w:t>
      </w:r>
      <w:proofErr w:type="spellEnd"/>
      <w:r w:rsidRPr="00A04477">
        <w:rPr>
          <w:lang w:val="de-DE"/>
        </w:rPr>
        <w:br/>
      </w:r>
      <w:r w:rsidR="004F36BE" w:rsidRPr="00A71A15">
        <w:rPr>
          <w:lang w:val="de-DE"/>
        </w:rPr>
        <w:t>www.liebherr.com</w:t>
      </w:r>
    </w:p>
    <w:sectPr w:rsidR="00B73A6D" w:rsidRPr="00A04477">
      <w:headerReference w:type="first" r:id="rId14"/>
      <w:pgSz w:w="11906" w:h="16838"/>
      <w:pgMar w:top="851" w:right="851" w:bottom="851" w:left="851" w:header="850" w:footer="85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CEC4A4" w14:textId="77777777" w:rsidR="00154D44" w:rsidRDefault="00154D44">
      <w:pPr>
        <w:spacing w:after="0" w:line="240" w:lineRule="auto"/>
      </w:pPr>
      <w:r>
        <w:separator/>
      </w:r>
    </w:p>
  </w:endnote>
  <w:endnote w:type="continuationSeparator" w:id="0">
    <w:p w14:paraId="00D75399" w14:textId="77777777" w:rsidR="00154D44" w:rsidRDefault="00154D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C5800B" w14:textId="77777777" w:rsidR="00154D44" w:rsidRDefault="00154D44">
      <w:pPr>
        <w:spacing w:after="0" w:line="240" w:lineRule="auto"/>
      </w:pPr>
      <w:r>
        <w:rPr>
          <w:color w:val="000000"/>
        </w:rPr>
        <w:separator/>
      </w:r>
    </w:p>
  </w:footnote>
  <w:footnote w:type="continuationSeparator" w:id="0">
    <w:p w14:paraId="52685B2B" w14:textId="77777777" w:rsidR="00154D44" w:rsidRDefault="00154D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FAA856" w14:textId="77777777" w:rsidR="00BE5258" w:rsidRDefault="004E705B">
    <w:pPr>
      <w:pStyle w:val="Kopfzeile"/>
    </w:pPr>
    <w:r>
      <w:rPr>
        <w:noProof/>
        <w:lang w:val="de-DE" w:eastAsia="de-DE"/>
      </w:rPr>
      <w:drawing>
        <wp:anchor distT="0" distB="0" distL="114300" distR="114300" simplePos="0" relativeHeight="251659264" behindDoc="0" locked="0" layoutInCell="1" allowOverlap="1" wp14:anchorId="6F47AD31" wp14:editId="2BCC16DB">
          <wp:simplePos x="0" y="0"/>
          <wp:positionH relativeFrom="margin">
            <wp:align>right</wp:align>
          </wp:positionH>
          <wp:positionV relativeFrom="paragraph">
            <wp:posOffset>-103500</wp:posOffset>
          </wp:positionV>
          <wp:extent cx="2166615" cy="269876"/>
          <wp:effectExtent l="0" t="0" r="5085" b="0"/>
          <wp:wrapSquare wrapText="bothSides"/>
          <wp:docPr id="1" name="Grafik 1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2166615" cy="269876"/>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37463"/>
    <w:multiLevelType w:val="multilevel"/>
    <w:tmpl w:val="75D25526"/>
    <w:lvl w:ilvl="0">
      <w:numFmt w:val="bullet"/>
      <w:lvlText w:val="-"/>
      <w:lvlJc w:val="left"/>
      <w:pPr>
        <w:ind w:left="2992" w:hanging="360"/>
      </w:pPr>
      <w:rPr>
        <w:rFonts w:ascii="Arial" w:eastAsia="Calibri" w:hAnsi="Arial" w:cs="Arial"/>
      </w:rPr>
    </w:lvl>
    <w:lvl w:ilvl="1">
      <w:numFmt w:val="bullet"/>
      <w:lvlText w:val="o"/>
      <w:lvlJc w:val="left"/>
      <w:pPr>
        <w:ind w:left="3712" w:hanging="360"/>
      </w:pPr>
      <w:rPr>
        <w:rFonts w:ascii="Courier New" w:hAnsi="Courier New" w:cs="Courier New"/>
      </w:rPr>
    </w:lvl>
    <w:lvl w:ilvl="2">
      <w:numFmt w:val="bullet"/>
      <w:lvlText w:val=""/>
      <w:lvlJc w:val="left"/>
      <w:pPr>
        <w:ind w:left="4432" w:hanging="360"/>
      </w:pPr>
      <w:rPr>
        <w:rFonts w:ascii="Wingdings" w:hAnsi="Wingdings"/>
      </w:rPr>
    </w:lvl>
    <w:lvl w:ilvl="3">
      <w:numFmt w:val="bullet"/>
      <w:lvlText w:val=""/>
      <w:lvlJc w:val="left"/>
      <w:pPr>
        <w:ind w:left="5152" w:hanging="360"/>
      </w:pPr>
      <w:rPr>
        <w:rFonts w:ascii="Symbol" w:hAnsi="Symbol"/>
      </w:rPr>
    </w:lvl>
    <w:lvl w:ilvl="4">
      <w:numFmt w:val="bullet"/>
      <w:lvlText w:val="o"/>
      <w:lvlJc w:val="left"/>
      <w:pPr>
        <w:ind w:left="5872" w:hanging="360"/>
      </w:pPr>
      <w:rPr>
        <w:rFonts w:ascii="Courier New" w:hAnsi="Courier New" w:cs="Courier New"/>
      </w:rPr>
    </w:lvl>
    <w:lvl w:ilvl="5">
      <w:numFmt w:val="bullet"/>
      <w:lvlText w:val=""/>
      <w:lvlJc w:val="left"/>
      <w:pPr>
        <w:ind w:left="6592" w:hanging="360"/>
      </w:pPr>
      <w:rPr>
        <w:rFonts w:ascii="Wingdings" w:hAnsi="Wingdings"/>
      </w:rPr>
    </w:lvl>
    <w:lvl w:ilvl="6">
      <w:numFmt w:val="bullet"/>
      <w:lvlText w:val=""/>
      <w:lvlJc w:val="left"/>
      <w:pPr>
        <w:ind w:left="7312" w:hanging="360"/>
      </w:pPr>
      <w:rPr>
        <w:rFonts w:ascii="Symbol" w:hAnsi="Symbol"/>
      </w:rPr>
    </w:lvl>
    <w:lvl w:ilvl="7">
      <w:numFmt w:val="bullet"/>
      <w:lvlText w:val="o"/>
      <w:lvlJc w:val="left"/>
      <w:pPr>
        <w:ind w:left="8032" w:hanging="360"/>
      </w:pPr>
      <w:rPr>
        <w:rFonts w:ascii="Courier New" w:hAnsi="Courier New" w:cs="Courier New"/>
      </w:rPr>
    </w:lvl>
    <w:lvl w:ilvl="8">
      <w:numFmt w:val="bullet"/>
      <w:lvlText w:val=""/>
      <w:lvlJc w:val="left"/>
      <w:pPr>
        <w:ind w:left="8752" w:hanging="360"/>
      </w:pPr>
      <w:rPr>
        <w:rFonts w:ascii="Wingdings" w:hAnsi="Wingdings"/>
      </w:rPr>
    </w:lvl>
  </w:abstractNum>
  <w:abstractNum w:abstractNumId="1" w15:restartNumberingAfterBreak="0">
    <w:nsid w:val="3367466C"/>
    <w:multiLevelType w:val="multilevel"/>
    <w:tmpl w:val="C708F352"/>
    <w:lvl w:ilvl="0">
      <w:numFmt w:val="bullet"/>
      <w:lvlText w:val="-"/>
      <w:lvlJc w:val="left"/>
      <w:pPr>
        <w:ind w:left="720" w:hanging="360"/>
      </w:pPr>
      <w:rPr>
        <w:rFonts w:ascii="Arial" w:eastAsia="Calibri"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3A6D"/>
    <w:rsid w:val="00154D44"/>
    <w:rsid w:val="001D1D04"/>
    <w:rsid w:val="00374B66"/>
    <w:rsid w:val="003F430B"/>
    <w:rsid w:val="00425FD8"/>
    <w:rsid w:val="00477674"/>
    <w:rsid w:val="004C1964"/>
    <w:rsid w:val="004E705B"/>
    <w:rsid w:val="004F36BE"/>
    <w:rsid w:val="006F3736"/>
    <w:rsid w:val="007447A1"/>
    <w:rsid w:val="007C792B"/>
    <w:rsid w:val="0094170B"/>
    <w:rsid w:val="00A04477"/>
    <w:rsid w:val="00A71A15"/>
    <w:rsid w:val="00B35CFB"/>
    <w:rsid w:val="00B7398B"/>
    <w:rsid w:val="00B73A6D"/>
    <w:rsid w:val="00B96538"/>
    <w:rsid w:val="00C900B9"/>
    <w:rsid w:val="00CA2E8B"/>
    <w:rsid w:val="00CC035A"/>
    <w:rsid w:val="00D876EF"/>
    <w:rsid w:val="00DC0137"/>
    <w:rsid w:val="00DF2E5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1B278F"/>
  <w15:docId w15:val="{171FDC9B-B694-4E3F-B5BD-B63E4104C3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fr-FR" w:eastAsia="en-US" w:bidi="ar-SA"/>
      </w:rPr>
    </w:rPrDefault>
    <w:pPrDefault>
      <w:pPr>
        <w:autoSpaceDN w:val="0"/>
        <w:spacing w:after="160" w:line="244" w:lineRule="auto"/>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spacing w:after="0" w:line="240" w:lineRule="auto"/>
    </w:pPr>
  </w:style>
  <w:style w:type="character" w:customStyle="1" w:styleId="KopfzeileZchn">
    <w:name w:val="Kopfzeile Zchn"/>
    <w:basedOn w:val="Absatz-Standardschriftart"/>
  </w:style>
  <w:style w:type="paragraph" w:styleId="Fuzeile">
    <w:name w:val="footer"/>
    <w:basedOn w:val="Standard"/>
    <w:pPr>
      <w:tabs>
        <w:tab w:val="center" w:pos="4536"/>
        <w:tab w:val="right" w:pos="9072"/>
      </w:tabs>
      <w:spacing w:after="0" w:line="240" w:lineRule="auto"/>
    </w:pPr>
  </w:style>
  <w:style w:type="character" w:customStyle="1" w:styleId="FuzeileZchn">
    <w:name w:val="Fußzeile Zchn"/>
    <w:basedOn w:val="Absatz-Standardschriftart"/>
  </w:style>
  <w:style w:type="paragraph" w:customStyle="1" w:styleId="HeadlineH233Pt">
    <w:name w:val="Headline H2 33Pt"/>
    <w:basedOn w:val="Standard"/>
    <w:pPr>
      <w:keepNext/>
      <w:keepLines/>
      <w:spacing w:after="0"/>
      <w:outlineLvl w:val="0"/>
    </w:pPr>
    <w:rPr>
      <w:rFonts w:ascii="Arial" w:eastAsia="Times New Roman" w:hAnsi="Arial"/>
      <w:b/>
      <w:sz w:val="66"/>
      <w:szCs w:val="32"/>
    </w:rPr>
  </w:style>
  <w:style w:type="character" w:customStyle="1" w:styleId="HeadlineH233PtZchn">
    <w:name w:val="Headline H2 33Pt Zchn"/>
    <w:basedOn w:val="Absatz-Standardschriftart"/>
    <w:rPr>
      <w:rFonts w:ascii="Arial" w:eastAsia="Times New Roman" w:hAnsi="Arial" w:cs="Times New Roman"/>
      <w:b/>
      <w:sz w:val="66"/>
      <w:szCs w:val="32"/>
    </w:rPr>
  </w:style>
  <w:style w:type="paragraph" w:customStyle="1" w:styleId="Topline16Pt">
    <w:name w:val="Topline 16Pt"/>
    <w:pPr>
      <w:suppressAutoHyphens/>
      <w:spacing w:after="0" w:line="240" w:lineRule="auto"/>
    </w:pPr>
    <w:rPr>
      <w:rFonts w:ascii="Arial" w:hAnsi="Arial"/>
      <w:sz w:val="33"/>
      <w:szCs w:val="33"/>
    </w:rPr>
  </w:style>
  <w:style w:type="character" w:customStyle="1" w:styleId="Topline16PtZchn">
    <w:name w:val="Topline 16Pt Zchn"/>
    <w:basedOn w:val="Absatz-Standardschriftart"/>
    <w:rPr>
      <w:rFonts w:ascii="Arial" w:hAnsi="Arial"/>
      <w:sz w:val="33"/>
      <w:szCs w:val="33"/>
      <w:lang w:val="fr-FR"/>
    </w:rPr>
  </w:style>
  <w:style w:type="paragraph" w:styleId="Listenabsatz">
    <w:name w:val="List Paragraph"/>
    <w:basedOn w:val="Standard"/>
    <w:pPr>
      <w:ind w:left="720"/>
    </w:pPr>
  </w:style>
  <w:style w:type="paragraph" w:customStyle="1" w:styleId="Copyhead11Pt">
    <w:name w:val="Copyhead 11Pt"/>
    <w:basedOn w:val="Standard"/>
    <w:pPr>
      <w:spacing w:after="300" w:line="300" w:lineRule="exact"/>
    </w:pPr>
    <w:rPr>
      <w:rFonts w:ascii="Arial" w:eastAsia="Times New Roman" w:hAnsi="Arial"/>
      <w:b/>
      <w:szCs w:val="18"/>
      <w:lang w:eastAsia="de-DE"/>
    </w:rPr>
  </w:style>
  <w:style w:type="character" w:customStyle="1" w:styleId="Copyhead11PtZchn">
    <w:name w:val="Copyhead 11Pt Zchn"/>
    <w:basedOn w:val="Absatz-Standardschriftart"/>
    <w:rPr>
      <w:rFonts w:ascii="Arial" w:eastAsia="Times New Roman" w:hAnsi="Arial" w:cs="Times New Roman"/>
      <w:b/>
      <w:szCs w:val="18"/>
      <w:lang w:val="fr-FR" w:eastAsia="de-DE"/>
    </w:rPr>
  </w:style>
  <w:style w:type="paragraph" w:customStyle="1" w:styleId="BoilerplateCopyhead9Pt">
    <w:name w:val="Boilerplate Copyhead 9Pt"/>
    <w:pPr>
      <w:spacing w:after="240" w:line="240" w:lineRule="exact"/>
      <w:textAlignment w:val="auto"/>
    </w:pPr>
    <w:rPr>
      <w:rFonts w:ascii="Arial" w:eastAsia="Times New Roman" w:hAnsi="Arial"/>
      <w:b/>
      <w:sz w:val="18"/>
      <w:szCs w:val="18"/>
      <w:lang w:eastAsia="de-DE"/>
    </w:rPr>
  </w:style>
  <w:style w:type="character" w:customStyle="1" w:styleId="BoilerplateCopyhead9PtZchn">
    <w:name w:val="Boilerplate Copyhead 9Pt Zchn"/>
    <w:basedOn w:val="Absatz-Standardschriftart"/>
    <w:rPr>
      <w:rFonts w:ascii="Arial" w:eastAsia="Times New Roman" w:hAnsi="Arial"/>
      <w:b/>
      <w:sz w:val="18"/>
      <w:szCs w:val="18"/>
      <w:lang w:val="fr-FR" w:eastAsia="de-DE"/>
    </w:rPr>
  </w:style>
  <w:style w:type="paragraph" w:customStyle="1" w:styleId="BoilerplateCopytext9Pt">
    <w:name w:val="Boilerplate Copytext 9Pt"/>
    <w:pPr>
      <w:spacing w:after="240" w:line="240" w:lineRule="exact"/>
      <w:textAlignment w:val="auto"/>
    </w:pPr>
    <w:rPr>
      <w:rFonts w:ascii="Arial" w:eastAsia="Times New Roman" w:hAnsi="Arial"/>
      <w:sz w:val="18"/>
      <w:szCs w:val="18"/>
      <w:lang w:eastAsia="de-DE"/>
    </w:rPr>
  </w:style>
  <w:style w:type="character" w:customStyle="1" w:styleId="BoilerplateCopytext9PtZchn">
    <w:name w:val="Boilerplate Copytext 9Pt Zchn"/>
    <w:basedOn w:val="Absatz-Standardschriftart"/>
    <w:rPr>
      <w:rFonts w:ascii="Arial" w:eastAsia="Times New Roman" w:hAnsi="Arial"/>
      <w:sz w:val="18"/>
      <w:szCs w:val="18"/>
      <w:lang w:val="fr-FR" w:eastAsia="de-DE"/>
    </w:rPr>
  </w:style>
  <w:style w:type="paragraph" w:customStyle="1" w:styleId="Copytext11Pt">
    <w:name w:val="Copytext 11Pt"/>
    <w:basedOn w:val="Standard"/>
    <w:pPr>
      <w:suppressAutoHyphens w:val="0"/>
      <w:spacing w:after="300" w:line="300" w:lineRule="exact"/>
      <w:textAlignment w:val="auto"/>
    </w:pPr>
    <w:rPr>
      <w:rFonts w:ascii="Arial" w:eastAsia="Times New Roman" w:hAnsi="Arial"/>
      <w:szCs w:val="18"/>
      <w:lang w:eastAsia="de-DE"/>
    </w:rPr>
  </w:style>
  <w:style w:type="character" w:customStyle="1" w:styleId="Copytext11PtZchn">
    <w:name w:val="Copytext 11Pt Zchn"/>
    <w:basedOn w:val="Absatz-Standardschriftart"/>
    <w:rPr>
      <w:rFonts w:ascii="Arial" w:eastAsia="Times New Roman" w:hAnsi="Arial"/>
      <w:szCs w:val="18"/>
      <w:lang w:val="fr-FR" w:eastAsia="de-DE"/>
    </w:rPr>
  </w:style>
  <w:style w:type="character" w:styleId="Hyperlink">
    <w:name w:val="Hyperlink"/>
    <w:basedOn w:val="Absatz-Standardschriftart"/>
    <w:rPr>
      <w:color w:val="0563C1"/>
      <w:u w:val="single"/>
    </w:rPr>
  </w:style>
  <w:style w:type="character" w:styleId="Kommentarzeichen">
    <w:name w:val="annotation reference"/>
    <w:basedOn w:val="Absatz-Standardschriftart"/>
    <w:uiPriority w:val="99"/>
    <w:semiHidden/>
    <w:unhideWhenUsed/>
    <w:rsid w:val="0094170B"/>
    <w:rPr>
      <w:sz w:val="16"/>
      <w:szCs w:val="16"/>
    </w:rPr>
  </w:style>
  <w:style w:type="paragraph" w:styleId="Kommentartext">
    <w:name w:val="annotation text"/>
    <w:basedOn w:val="Standard"/>
    <w:link w:val="KommentartextZchn"/>
    <w:uiPriority w:val="99"/>
    <w:semiHidden/>
    <w:unhideWhenUsed/>
    <w:rsid w:val="0094170B"/>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4170B"/>
    <w:rPr>
      <w:sz w:val="20"/>
      <w:szCs w:val="20"/>
    </w:rPr>
  </w:style>
  <w:style w:type="paragraph" w:customStyle="1" w:styleId="Caption9Pt">
    <w:name w:val="Caption 9Pt"/>
    <w:basedOn w:val="Standard"/>
    <w:link w:val="Caption9PtZchn"/>
    <w:qFormat/>
    <w:rsid w:val="00C900B9"/>
    <w:pPr>
      <w:suppressAutoHyphens w:val="0"/>
      <w:autoSpaceDN/>
      <w:spacing w:line="259" w:lineRule="auto"/>
      <w:textAlignment w:val="auto"/>
    </w:pPr>
    <w:rPr>
      <w:rFonts w:ascii="Arial" w:eastAsiaTheme="minorHAnsi" w:hAnsi="Arial" w:cs="Arial"/>
      <w:sz w:val="18"/>
      <w:szCs w:val="18"/>
      <w:lang w:val="de-DE"/>
    </w:rPr>
  </w:style>
  <w:style w:type="character" w:customStyle="1" w:styleId="Caption9PtZchn">
    <w:name w:val="Caption 9Pt Zchn"/>
    <w:basedOn w:val="Absatz-Standardschriftart"/>
    <w:link w:val="Caption9Pt"/>
    <w:rsid w:val="00C900B9"/>
    <w:rPr>
      <w:rFonts w:ascii="Arial" w:eastAsiaTheme="minorHAnsi" w:hAnsi="Arial" w:cs="Arial"/>
      <w:sz w:val="18"/>
      <w:szCs w:val="18"/>
      <w:lang w:val="de-DE"/>
    </w:rPr>
  </w:style>
  <w:style w:type="paragraph" w:styleId="Sprechblasentext">
    <w:name w:val="Balloon Text"/>
    <w:basedOn w:val="Standard"/>
    <w:link w:val="SprechblasentextZchn"/>
    <w:uiPriority w:val="99"/>
    <w:semiHidden/>
    <w:unhideWhenUsed/>
    <w:rsid w:val="004F36BE"/>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F36B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A6FB54-BED6-439F-88B7-3A03AEBE2656}">
  <ds:schemaRefs>
    <ds:schemaRef ds:uri="http://schemas.microsoft.com/sharepoint/v3/contenttype/forms"/>
  </ds:schemaRefs>
</ds:datastoreItem>
</file>

<file path=customXml/itemProps2.xml><?xml version="1.0" encoding="utf-8"?>
<ds:datastoreItem xmlns:ds="http://schemas.openxmlformats.org/officeDocument/2006/customXml" ds:itemID="{9D8951EA-6B06-49A9-AA55-730AAFAA05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8F50DDD0-786E-4F00-81F2-903B235E2849}">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F7D2B5AF-FAC7-4847-8DCA-00BE3FA9F1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912</Words>
  <Characters>5747</Characters>
  <Application>Microsoft Office Word</Application>
  <DocSecurity>0</DocSecurity>
  <Lines>47</Lines>
  <Paragraphs>13</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6646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Eggenhofer Katja (LBH)</dc:creator>
  <dc:description/>
  <cp:lastModifiedBy>Kuzia Astrid (LHO)</cp:lastModifiedBy>
  <cp:revision>12</cp:revision>
  <cp:lastPrinted>2021-09-13T11:46:00Z</cp:lastPrinted>
  <dcterms:created xsi:type="dcterms:W3CDTF">2021-10-12T07:18:00Z</dcterms:created>
  <dcterms:modified xsi:type="dcterms:W3CDTF">2021-11-03T10:48:00Z</dcterms:modified>
</cp:coreProperties>
</file>