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FB95EC" w14:textId="77777777" w:rsidR="00103C67" w:rsidRPr="003E62FB" w:rsidRDefault="00103C67" w:rsidP="00103C67">
      <w:pPr>
        <w:pStyle w:val="TitleLogotoprightLH"/>
        <w:framePr w:h="1021" w:hRule="exact" w:wrap="notBeside"/>
      </w:pPr>
      <w:r w:rsidRPr="003E62FB">
        <w:rPr>
          <w:noProof/>
          <w:lang w:val="de-DE" w:eastAsia="de-DE"/>
        </w:rPr>
        <w:drawing>
          <wp:inline distT="0" distB="0" distL="0" distR="0" wp14:anchorId="5F9AA0FE" wp14:editId="4A1F2CE1">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hq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bookmarkStart w:id="0" w:name="_GoBack"/>
    <w:bookmarkEnd w:id="0"/>
    <w:p w14:paraId="4120284F" w14:textId="0ACDE592" w:rsidR="00A62ED5" w:rsidRPr="00AC1380" w:rsidRDefault="00625ED5" w:rsidP="00A62ED5">
      <w:pPr>
        <w:pStyle w:val="Titel"/>
      </w:pPr>
      <w:sdt>
        <w:sdtPr>
          <w:alias w:val="Title"/>
          <w:tag w:val=""/>
          <w:id w:val="1012880580"/>
          <w:placeholder>
            <w:docPart w:val="ECA551D4D0194BDEB569500E94FF9EA3"/>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62ED5" w:rsidRPr="009F047A">
            <w:t>Liebherr and ENGIE partner to offer carbon-neutral solutions for the mining industry</w:t>
          </w:r>
        </w:sdtContent>
      </w:sdt>
    </w:p>
    <w:p w14:paraId="09B733D2" w14:textId="77777777" w:rsidR="00A62ED5" w:rsidRPr="00AC1380" w:rsidRDefault="00A62ED5" w:rsidP="00A62ED5">
      <w:pPr>
        <w:pStyle w:val="Titel"/>
        <w:spacing w:line="660" w:lineRule="exact"/>
        <w:rPr>
          <w:rFonts w:ascii="Tahoma" w:hAnsi="Tahoma" w:cs="Tahoma"/>
        </w:rPr>
      </w:pPr>
      <w:r w:rsidRPr="00AC1380">
        <w:rPr>
          <w:rFonts w:ascii="Tahoma" w:hAnsi="Tahoma" w:cs="Tahoma"/>
        </w:rPr>
        <w:t>⸺</w:t>
      </w:r>
    </w:p>
    <w:p w14:paraId="0C3286D2" w14:textId="77777777" w:rsidR="00103C67" w:rsidRPr="003E62FB" w:rsidRDefault="00103C67" w:rsidP="00A62ED5">
      <w:pPr>
        <w:pStyle w:val="Bulletpoints11Pt"/>
      </w:pPr>
      <w:r w:rsidRPr="003E62FB">
        <w:t xml:space="preserve">Liebherr and ENGIE announced at MINExpo 2021 their partnership </w:t>
      </w:r>
      <w:r>
        <w:t xml:space="preserve">to offer integrated carbon-neutral </w:t>
      </w:r>
      <w:r w:rsidRPr="003E62FB">
        <w:t>solutions to decarboni</w:t>
      </w:r>
      <w:r>
        <w:t>s</w:t>
      </w:r>
      <w:r w:rsidRPr="003E62FB">
        <w:t>e the mining industry.</w:t>
      </w:r>
    </w:p>
    <w:p w14:paraId="096ACC48" w14:textId="319F2B87" w:rsidR="00103C67" w:rsidRDefault="00103C67" w:rsidP="00A62ED5">
      <w:pPr>
        <w:pStyle w:val="Bulletpoints11Pt"/>
        <w:rPr>
          <w:lang w:val="en-GB"/>
        </w:rPr>
      </w:pPr>
      <w:r w:rsidRPr="003E62FB">
        <w:rPr>
          <w:lang w:val="en-GB"/>
        </w:rPr>
        <w:t>With this agreement, Liebherr continue</w:t>
      </w:r>
      <w:r>
        <w:rPr>
          <w:lang w:val="en-GB"/>
        </w:rPr>
        <w:t>s</w:t>
      </w:r>
      <w:r w:rsidRPr="003E62FB">
        <w:rPr>
          <w:lang w:val="en-GB"/>
        </w:rPr>
        <w:t xml:space="preserve"> to execute </w:t>
      </w:r>
      <w:r>
        <w:rPr>
          <w:lang w:val="en-GB"/>
        </w:rPr>
        <w:t>its</w:t>
      </w:r>
      <w:r w:rsidRPr="003E62FB">
        <w:rPr>
          <w:lang w:val="en-GB"/>
        </w:rPr>
        <w:t xml:space="preserve"> roadmap to achieve low </w:t>
      </w:r>
      <w:r w:rsidR="0077685F">
        <w:rPr>
          <w:lang w:val="en-GB"/>
        </w:rPr>
        <w:t xml:space="preserve">carbon </w:t>
      </w:r>
      <w:r w:rsidRPr="003E62FB">
        <w:rPr>
          <w:lang w:val="en-GB"/>
        </w:rPr>
        <w:t>solutions in 2022, along with fossil fuel</w:t>
      </w:r>
      <w:r w:rsidR="00BD2DE4">
        <w:rPr>
          <w:lang w:val="en-GB"/>
        </w:rPr>
        <w:t xml:space="preserve"> </w:t>
      </w:r>
      <w:r w:rsidRPr="003E62FB">
        <w:rPr>
          <w:lang w:val="en-GB"/>
        </w:rPr>
        <w:t xml:space="preserve">free solutions for the majority of applications by 2030. </w:t>
      </w:r>
    </w:p>
    <w:p w14:paraId="612B9D27" w14:textId="4733A611" w:rsidR="003A4322" w:rsidRPr="00A62ED5" w:rsidRDefault="000C0DB7" w:rsidP="00A62ED5">
      <w:pPr>
        <w:pStyle w:val="Bulletpoints11Pt"/>
        <w:rPr>
          <w:lang w:val="en-GB"/>
        </w:rPr>
      </w:pPr>
      <w:r>
        <w:rPr>
          <w:lang w:val="en-GB"/>
        </w:rPr>
        <w:t xml:space="preserve">This partnership supports </w:t>
      </w:r>
      <w:r w:rsidR="00A62ED5">
        <w:rPr>
          <w:lang w:val="en-GB"/>
        </w:rPr>
        <w:t>ENGIE’s</w:t>
      </w:r>
      <w:r>
        <w:rPr>
          <w:lang w:val="en-GB"/>
        </w:rPr>
        <w:t xml:space="preserve"> ambition to help e</w:t>
      </w:r>
      <w:r w:rsidR="00300A77">
        <w:rPr>
          <w:lang w:val="en-GB"/>
        </w:rPr>
        <w:t>nergy-</w:t>
      </w:r>
      <w:r>
        <w:rPr>
          <w:lang w:val="en-GB"/>
        </w:rPr>
        <w:t xml:space="preserve">intensive </w:t>
      </w:r>
      <w:r w:rsidR="00300A77">
        <w:rPr>
          <w:lang w:val="en-GB"/>
        </w:rPr>
        <w:t>industries</w:t>
      </w:r>
      <w:r>
        <w:rPr>
          <w:lang w:val="en-GB"/>
        </w:rPr>
        <w:t xml:space="preserve"> like the </w:t>
      </w:r>
      <w:r w:rsidRPr="00A62ED5">
        <w:rPr>
          <w:lang w:val="en-GB"/>
        </w:rPr>
        <w:t xml:space="preserve">mining </w:t>
      </w:r>
      <w:r w:rsidR="00300A77" w:rsidRPr="00A62ED5">
        <w:rPr>
          <w:lang w:val="en-GB"/>
        </w:rPr>
        <w:t>sector</w:t>
      </w:r>
      <w:r w:rsidRPr="00A62ED5">
        <w:rPr>
          <w:lang w:val="en-GB"/>
        </w:rPr>
        <w:t xml:space="preserve"> reach their carbon-neutrality objectives.</w:t>
      </w:r>
    </w:p>
    <w:p w14:paraId="6138C772" w14:textId="2FB64B61" w:rsidR="00103C67" w:rsidRPr="00A62ED5" w:rsidRDefault="00103C67" w:rsidP="00A62ED5">
      <w:pPr>
        <w:pStyle w:val="Bulletpoints11Pt"/>
        <w:rPr>
          <w:lang w:val="en-GB"/>
        </w:rPr>
      </w:pPr>
      <w:r w:rsidRPr="00A62ED5">
        <w:rPr>
          <w:lang w:val="en-GB"/>
        </w:rPr>
        <w:t xml:space="preserve">The parties will jointly </w:t>
      </w:r>
      <w:r w:rsidRPr="00A62ED5">
        <w:rPr>
          <w:rFonts w:eastAsia="Arial" w:cstheme="minorHAnsi"/>
          <w:lang w:val="en-GB"/>
        </w:rPr>
        <w:t>evaluate different decarboni</w:t>
      </w:r>
      <w:r w:rsidR="003A4322" w:rsidRPr="00A62ED5">
        <w:rPr>
          <w:rFonts w:eastAsia="Arial" w:cstheme="minorHAnsi"/>
          <w:lang w:val="en-GB"/>
        </w:rPr>
        <w:t>s</w:t>
      </w:r>
      <w:r w:rsidRPr="00A62ED5">
        <w:rPr>
          <w:rFonts w:eastAsia="Arial" w:cstheme="minorHAnsi"/>
          <w:lang w:val="en-GB"/>
        </w:rPr>
        <w:t>ation pathways, including renewable hydrogen,</w:t>
      </w:r>
      <w:r w:rsidRPr="00A62ED5">
        <w:rPr>
          <w:lang w:val="en-GB"/>
        </w:rPr>
        <w:t xml:space="preserve"> to offer new well-to-wheel energy ecosystems for the mining industry.</w:t>
      </w:r>
    </w:p>
    <w:p w14:paraId="5A4837EE" w14:textId="7C013FC1" w:rsidR="00103C67" w:rsidRPr="003E62FB" w:rsidRDefault="00103C67" w:rsidP="00103C67">
      <w:pPr>
        <w:pStyle w:val="Teaser11Pt"/>
        <w:rPr>
          <w:noProof w:val="0"/>
          <w:lang w:val="en-GB"/>
        </w:rPr>
      </w:pPr>
      <w:r w:rsidRPr="003E62FB">
        <w:rPr>
          <w:noProof w:val="0"/>
          <w:lang w:val="en-GB"/>
        </w:rPr>
        <w:t>Liebherr, one of the largest construction</w:t>
      </w:r>
      <w:r>
        <w:rPr>
          <w:noProof w:val="0"/>
          <w:lang w:val="en-GB"/>
        </w:rPr>
        <w:t xml:space="preserve"> and mining</w:t>
      </w:r>
      <w:r w:rsidRPr="003E62FB">
        <w:rPr>
          <w:noProof w:val="0"/>
          <w:lang w:val="en-GB"/>
        </w:rPr>
        <w:t xml:space="preserve"> equipment manufacturers in the world, and ENGIE,</w:t>
      </w:r>
      <w:r>
        <w:rPr>
          <w:noProof w:val="0"/>
          <w:lang w:val="en-GB"/>
        </w:rPr>
        <w:t xml:space="preserve"> </w:t>
      </w:r>
      <w:r w:rsidRPr="00485E20">
        <w:rPr>
          <w:noProof w:val="0"/>
          <w:lang w:val="en-GB"/>
        </w:rPr>
        <w:t xml:space="preserve">the global reference in </w:t>
      </w:r>
      <w:r>
        <w:rPr>
          <w:noProof w:val="0"/>
          <w:lang w:val="en-GB"/>
        </w:rPr>
        <w:t xml:space="preserve">renewable hydrogen, </w:t>
      </w:r>
      <w:r w:rsidRPr="00485E20">
        <w:rPr>
          <w:noProof w:val="0"/>
          <w:lang w:val="en-GB"/>
        </w:rPr>
        <w:t>low-carbon energy and services</w:t>
      </w:r>
      <w:r>
        <w:rPr>
          <w:noProof w:val="0"/>
          <w:lang w:val="en-GB"/>
        </w:rPr>
        <w:t>,</w:t>
      </w:r>
      <w:r w:rsidRPr="003E62FB">
        <w:rPr>
          <w:noProof w:val="0"/>
          <w:lang w:val="en-GB"/>
        </w:rPr>
        <w:t xml:space="preserve"> have signed an agreement to </w:t>
      </w:r>
      <w:r>
        <w:rPr>
          <w:noProof w:val="0"/>
          <w:lang w:val="en-GB"/>
        </w:rPr>
        <w:t>jointly evaluate, develop</w:t>
      </w:r>
      <w:r w:rsidR="003A4322">
        <w:rPr>
          <w:noProof w:val="0"/>
          <w:lang w:val="en-GB"/>
        </w:rPr>
        <w:t>,</w:t>
      </w:r>
      <w:r w:rsidRPr="003E62FB">
        <w:rPr>
          <w:noProof w:val="0"/>
          <w:lang w:val="en-GB"/>
        </w:rPr>
        <w:t xml:space="preserve"> and implement zero</w:t>
      </w:r>
      <w:r w:rsidR="003A4322">
        <w:rPr>
          <w:noProof w:val="0"/>
          <w:lang w:val="en-GB"/>
        </w:rPr>
        <w:t xml:space="preserve"> </w:t>
      </w:r>
      <w:r w:rsidRPr="003E62FB">
        <w:rPr>
          <w:noProof w:val="0"/>
          <w:lang w:val="en-GB"/>
        </w:rPr>
        <w:t>emission mining solutions</w:t>
      </w:r>
      <w:r>
        <w:rPr>
          <w:noProof w:val="0"/>
          <w:lang w:val="en-GB"/>
        </w:rPr>
        <w:t xml:space="preserve"> </w:t>
      </w:r>
      <w:r w:rsidRPr="003E62FB">
        <w:rPr>
          <w:noProof w:val="0"/>
          <w:lang w:val="en-GB"/>
        </w:rPr>
        <w:t>for</w:t>
      </w:r>
      <w:r>
        <w:rPr>
          <w:noProof w:val="0"/>
          <w:lang w:val="en-GB"/>
        </w:rPr>
        <w:t xml:space="preserve"> </w:t>
      </w:r>
      <w:r w:rsidR="003A4322">
        <w:rPr>
          <w:noProof w:val="0"/>
          <w:lang w:val="en-GB"/>
        </w:rPr>
        <w:t>their</w:t>
      </w:r>
      <w:r>
        <w:rPr>
          <w:noProof w:val="0"/>
          <w:lang w:val="en-GB"/>
        </w:rPr>
        <w:t xml:space="preserve"> customers</w:t>
      </w:r>
      <w:r w:rsidRPr="003E62FB">
        <w:rPr>
          <w:noProof w:val="0"/>
          <w:lang w:val="en-GB"/>
        </w:rPr>
        <w:t>.</w:t>
      </w:r>
    </w:p>
    <w:p w14:paraId="1F96854C" w14:textId="3BBAB576" w:rsidR="00103C67" w:rsidRPr="003E62FB" w:rsidRDefault="00A62ED5" w:rsidP="00A62ED5">
      <w:pPr>
        <w:pStyle w:val="Copytext11Pt"/>
      </w:pPr>
      <w:r>
        <w:t>Las Vegas (USA),</w:t>
      </w:r>
      <w:r w:rsidR="00103C67" w:rsidRPr="003E62FB">
        <w:t xml:space="preserve"> 1</w:t>
      </w:r>
      <w:r w:rsidR="00103C67">
        <w:t>4</w:t>
      </w:r>
      <w:r w:rsidR="00103C67" w:rsidRPr="003E62FB">
        <w:t xml:space="preserve"> September 2021 – Liebherr Mining and ENGIE </w:t>
      </w:r>
      <w:r w:rsidR="00103C67">
        <w:t xml:space="preserve">have </w:t>
      </w:r>
      <w:r w:rsidR="00103C67" w:rsidRPr="003E62FB">
        <w:t xml:space="preserve">officially announced their partnership </w:t>
      </w:r>
      <w:r w:rsidR="00103C67">
        <w:t>on</w:t>
      </w:r>
      <w:r w:rsidR="00103C67" w:rsidRPr="003E62FB">
        <w:t xml:space="preserve"> zero</w:t>
      </w:r>
      <w:r w:rsidR="00103C67">
        <w:t>-</w:t>
      </w:r>
      <w:r w:rsidR="00103C67" w:rsidRPr="003E62FB">
        <w:t xml:space="preserve">emission </w:t>
      </w:r>
      <w:r w:rsidR="00103C67">
        <w:t xml:space="preserve">mining </w:t>
      </w:r>
      <w:r w:rsidR="00103C67" w:rsidRPr="003E62FB">
        <w:t>solutions for a sustainable future</w:t>
      </w:r>
      <w:r w:rsidR="00103C67">
        <w:t xml:space="preserve"> at MINExpo International</w:t>
      </w:r>
      <w:r w:rsidR="00103C67" w:rsidRPr="00C26CC0">
        <w:rPr>
          <w:vertAlign w:val="superscript"/>
        </w:rPr>
        <w:t>®</w:t>
      </w:r>
      <w:r w:rsidR="00103C67">
        <w:t xml:space="preserve"> 2021</w:t>
      </w:r>
      <w:r w:rsidR="00103C67" w:rsidRPr="003E62FB">
        <w:t xml:space="preserve">. Each company will </w:t>
      </w:r>
      <w:r w:rsidR="00103C67">
        <w:t>bring its own expertise and knowledge to the table, to</w:t>
      </w:r>
      <w:r w:rsidR="00103C67" w:rsidRPr="003E62FB">
        <w:t xml:space="preserve"> tackle the challenges of decarboni</w:t>
      </w:r>
      <w:r w:rsidR="00103C67">
        <w:t>s</w:t>
      </w:r>
      <w:r w:rsidR="00103C67" w:rsidRPr="003E62FB">
        <w:t xml:space="preserve">ing the mining industry. </w:t>
      </w:r>
      <w:r w:rsidR="00103C67">
        <w:t>The collaboration</w:t>
      </w:r>
      <w:r w:rsidR="00103C67" w:rsidRPr="003E62FB">
        <w:t xml:space="preserve"> aims </w:t>
      </w:r>
      <w:r w:rsidR="003A4322">
        <w:t xml:space="preserve">to evaluate </w:t>
      </w:r>
      <w:r w:rsidR="00103C67" w:rsidRPr="003E62FB">
        <w:t>different renewable energies, in particular renewable hydrogen,</w:t>
      </w:r>
      <w:r w:rsidR="00103C67">
        <w:t xml:space="preserve"> and </w:t>
      </w:r>
      <w:r w:rsidR="00BD2DE4">
        <w:t>hydrogen derived</w:t>
      </w:r>
      <w:r w:rsidR="00103C67">
        <w:t xml:space="preserve"> fuels</w:t>
      </w:r>
      <w:r w:rsidR="00103C67" w:rsidRPr="003E62FB">
        <w:t>, to develop a</w:t>
      </w:r>
      <w:r w:rsidR="00103C67">
        <w:t xml:space="preserve">n integrated </w:t>
      </w:r>
      <w:r w:rsidR="00103C67" w:rsidRPr="00A62ED5">
        <w:t>well-to-wheel solution for the mining industry.</w:t>
      </w:r>
    </w:p>
    <w:p w14:paraId="6C84744C" w14:textId="7D55F94D" w:rsidR="00103C67" w:rsidRPr="003E62FB" w:rsidRDefault="00177FB1" w:rsidP="00A62ED5">
      <w:pPr>
        <w:pStyle w:val="Copytext11Pt"/>
      </w:pPr>
      <w:r w:rsidRPr="00177FB1">
        <w:t>In consideration of</w:t>
      </w:r>
      <w:r w:rsidR="00103C67">
        <w:t xml:space="preserve"> the Paris Climate Agreement, Liebherr has taken the challenge of finding future energy ecosystems to power its </w:t>
      </w:r>
      <w:r w:rsidR="00103C67" w:rsidRPr="003E62FB">
        <w:t xml:space="preserve">mobile and heavy-duty </w:t>
      </w:r>
      <w:r w:rsidR="00103C67">
        <w:t xml:space="preserve">mining equipment. </w:t>
      </w:r>
      <w:r w:rsidR="00103C67" w:rsidRPr="003E62FB">
        <w:t xml:space="preserve">The </w:t>
      </w:r>
      <w:r w:rsidR="00103C67">
        <w:t xml:space="preserve">large </w:t>
      </w:r>
      <w:r w:rsidR="00103C67" w:rsidRPr="003E62FB">
        <w:t xml:space="preserve">range of application areas and fields of use of Liebherr construction and mining </w:t>
      </w:r>
      <w:r w:rsidR="00103C67">
        <w:t>equipment</w:t>
      </w:r>
      <w:r w:rsidR="00103C67" w:rsidRPr="003E62FB">
        <w:t xml:space="preserve"> requires an equally large vari</w:t>
      </w:r>
      <w:r w:rsidR="00103C67">
        <w:t>ety</w:t>
      </w:r>
      <w:r w:rsidR="00103C67" w:rsidRPr="003E62FB">
        <w:t xml:space="preserve"> of suitable drive</w:t>
      </w:r>
      <w:r w:rsidR="00103C67">
        <w:t xml:space="preserve"> systems</w:t>
      </w:r>
      <w:r w:rsidR="00103C67" w:rsidRPr="003E62FB">
        <w:t xml:space="preserve"> to best meet the needs of customers. Liebherr strives for long-term sustainable solutions, investigating different options centred on </w:t>
      </w:r>
      <w:r w:rsidR="00CD6E89" w:rsidRPr="00CD6E89">
        <w:t>environmental impact</w:t>
      </w:r>
      <w:r w:rsidR="00CD6E89">
        <w:t xml:space="preserve">, </w:t>
      </w:r>
      <w:r w:rsidR="00103C67" w:rsidRPr="003E62FB">
        <w:t xml:space="preserve">safety, cost, reliability, maintainability, and flexibility. </w:t>
      </w:r>
      <w:bookmarkStart w:id="1" w:name="_Hlk80364960"/>
      <w:r w:rsidR="00103C67">
        <w:t>Liebherr</w:t>
      </w:r>
      <w:r w:rsidR="00103C67" w:rsidRPr="003E62FB">
        <w:t xml:space="preserve"> </w:t>
      </w:r>
      <w:r w:rsidR="00103C67">
        <w:t xml:space="preserve">already </w:t>
      </w:r>
      <w:r w:rsidR="00103C67" w:rsidRPr="003E62FB">
        <w:t>offer</w:t>
      </w:r>
      <w:r w:rsidR="00103C67">
        <w:t>s</w:t>
      </w:r>
      <w:r w:rsidR="00103C67" w:rsidRPr="003E62FB">
        <w:t xml:space="preserve"> a</w:t>
      </w:r>
      <w:r w:rsidR="00103C67">
        <w:t xml:space="preserve"> nearly</w:t>
      </w:r>
      <w:r w:rsidR="00103C67" w:rsidRPr="003E62FB">
        <w:t xml:space="preserve"> full range of electric excavator</w:t>
      </w:r>
      <w:r w:rsidR="00103C67">
        <w:t>s and trolley equipped trucks.</w:t>
      </w:r>
      <w:bookmarkEnd w:id="1"/>
      <w:r w:rsidR="00103C67" w:rsidRPr="003E62FB">
        <w:t xml:space="preserve"> </w:t>
      </w:r>
      <w:r w:rsidR="00103C67">
        <w:t xml:space="preserve">Liebherr Mining has a clear </w:t>
      </w:r>
      <w:r w:rsidR="00103C67" w:rsidRPr="003E62FB">
        <w:t xml:space="preserve">roadmap to achieve low </w:t>
      </w:r>
      <w:r w:rsidR="00CD6E89">
        <w:t xml:space="preserve">carbon </w:t>
      </w:r>
      <w:r w:rsidR="00103C67" w:rsidRPr="003E62FB">
        <w:t>solutions in 2022</w:t>
      </w:r>
      <w:r w:rsidR="00103C67">
        <w:t xml:space="preserve"> for the entire </w:t>
      </w:r>
      <w:r w:rsidR="00A62ED5">
        <w:t>truck</w:t>
      </w:r>
      <w:r w:rsidR="00103C67">
        <w:t xml:space="preserve"> and excavator product line</w:t>
      </w:r>
      <w:r w:rsidR="00103C67" w:rsidRPr="003E62FB">
        <w:t>, along with fossil fuel</w:t>
      </w:r>
      <w:r w:rsidR="00BD2DE4">
        <w:t xml:space="preserve"> </w:t>
      </w:r>
      <w:r w:rsidR="00103C67" w:rsidRPr="003E62FB">
        <w:t>free solutions for most applications by 2030</w:t>
      </w:r>
      <w:r w:rsidR="00103C67">
        <w:t>.</w:t>
      </w:r>
    </w:p>
    <w:p w14:paraId="306E7096" w14:textId="08CDDB6B" w:rsidR="00103C67" w:rsidRPr="00A62ED5" w:rsidRDefault="00103C67" w:rsidP="00A62ED5">
      <w:pPr>
        <w:pStyle w:val="Copytext11Pt"/>
      </w:pPr>
      <w:r w:rsidRPr="00A62ED5">
        <w:t>This joint proposal between Liebherr and ENGIE covers all considerations for the implementation of practical solutions. It will validate the best solutions in terms of technical, economic, financial, and business aspects, along with the removal of greenhouse gas (GHG) emissions. ENGIE, as a front-runner in the development of a</w:t>
      </w:r>
      <w:r w:rsidR="003A4322" w:rsidRPr="00A62ED5">
        <w:t xml:space="preserve"> worldwide</w:t>
      </w:r>
      <w:r w:rsidRPr="00A62ED5">
        <w:t xml:space="preserve"> industrial-scale renewable hydrogen economy, will contribute with its expertise including engineering, R&amp;D, design, construction, operation, and inception, while Liebherr will bring its knowledge and experience in mining equipment and operation.</w:t>
      </w:r>
    </w:p>
    <w:p w14:paraId="17E1F067" w14:textId="77777777" w:rsidR="00103C67" w:rsidRDefault="00103C67" w:rsidP="00A62ED5">
      <w:pPr>
        <w:pStyle w:val="Copytext11Pt"/>
      </w:pPr>
      <w:bookmarkStart w:id="2" w:name="_Hlk79651819"/>
      <w:r w:rsidRPr="00A62ED5">
        <w:lastRenderedPageBreak/>
        <w:t>The common approach considers cost and GHG emissions of the holistic well-to-wheel solution, supporting the selection,</w:t>
      </w:r>
      <w:r>
        <w:t xml:space="preserve"> design, and development of the right energy supply chain and zero emission mining equipment.</w:t>
      </w:r>
      <w:bookmarkEnd w:id="2"/>
    </w:p>
    <w:p w14:paraId="51D064F3" w14:textId="46CC9B4C" w:rsidR="00103C67" w:rsidRDefault="00103C67" w:rsidP="00A62ED5">
      <w:pPr>
        <w:pStyle w:val="Copytext11Pt"/>
      </w:pPr>
      <w:r w:rsidRPr="003E62FB">
        <w:t>Th</w:t>
      </w:r>
      <w:r>
        <w:t>is</w:t>
      </w:r>
      <w:r w:rsidRPr="003E62FB">
        <w:t xml:space="preserve"> convergence of Liebherr's and ENGIE's </w:t>
      </w:r>
      <w:r>
        <w:t xml:space="preserve">respective </w:t>
      </w:r>
      <w:r w:rsidRPr="003E62FB">
        <w:t>experience</w:t>
      </w:r>
      <w:r>
        <w:t>s</w:t>
      </w:r>
      <w:r w:rsidRPr="003E62FB">
        <w:t xml:space="preserve"> in the decarboni</w:t>
      </w:r>
      <w:r>
        <w:t>s</w:t>
      </w:r>
      <w:r w:rsidRPr="003E62FB">
        <w:t>ation of the mining sector from design to industrial deployment, is key to provid</w:t>
      </w:r>
      <w:r>
        <w:t>ing customers and the industry with the most valuable</w:t>
      </w:r>
      <w:r w:rsidRPr="003E62FB">
        <w:t xml:space="preserve"> </w:t>
      </w:r>
      <w:r>
        <w:t>z</w:t>
      </w:r>
      <w:r w:rsidRPr="003E62FB">
        <w:t>ero</w:t>
      </w:r>
      <w:r w:rsidR="003A4322">
        <w:t xml:space="preserve"> </w:t>
      </w:r>
      <w:r>
        <w:t>e</w:t>
      </w:r>
      <w:r w:rsidRPr="003E62FB">
        <w:t xml:space="preserve">mission </w:t>
      </w:r>
      <w:r>
        <w:t>solutions</w:t>
      </w:r>
      <w:r w:rsidRPr="003E62FB">
        <w:t xml:space="preserve">. The synergy between the two organisations </w:t>
      </w:r>
      <w:r>
        <w:t>forms a partnership well equipped to deliver</w:t>
      </w:r>
      <w:r w:rsidRPr="003E62FB">
        <w:t xml:space="preserve"> high-</w:t>
      </w:r>
      <w:r>
        <w:t xml:space="preserve">efficiency </w:t>
      </w:r>
      <w:r w:rsidRPr="003E62FB">
        <w:t xml:space="preserve">and </w:t>
      </w:r>
      <w:r>
        <w:t>carbon-neutral</w:t>
      </w:r>
      <w:r w:rsidRPr="003E62FB" w:rsidDel="005724F2">
        <w:t xml:space="preserve"> </w:t>
      </w:r>
      <w:r w:rsidRPr="003E62FB">
        <w:t>solutions for strategic mining markets</w:t>
      </w:r>
      <w:r>
        <w:t xml:space="preserve"> – contributing to environmentally conscious mining</w:t>
      </w:r>
      <w:r w:rsidRPr="003E62FB">
        <w:t>.</w:t>
      </w:r>
    </w:p>
    <w:p w14:paraId="42BDADB2" w14:textId="607891F9" w:rsidR="00103C67" w:rsidRPr="00300A77" w:rsidRDefault="003A4322" w:rsidP="00A62ED5">
      <w:pPr>
        <w:pStyle w:val="Copytext11Pt"/>
        <w:rPr>
          <w:rFonts w:cs="Arial"/>
        </w:rPr>
      </w:pPr>
      <w:r w:rsidRPr="00300A77">
        <w:rPr>
          <w:rFonts w:cs="Arial"/>
        </w:rPr>
        <w:t>“</w:t>
      </w:r>
      <w:r w:rsidR="00103C67" w:rsidRPr="00300A77">
        <w:rPr>
          <w:rFonts w:cs="Arial"/>
        </w:rPr>
        <w:t xml:space="preserve">We are very honored by this collaboration with Liebherr to work on solutions for </w:t>
      </w:r>
      <w:proofErr w:type="spellStart"/>
      <w:r w:rsidR="00103C67" w:rsidRPr="00300A77">
        <w:rPr>
          <w:rFonts w:cs="Arial"/>
        </w:rPr>
        <w:t>decarboni</w:t>
      </w:r>
      <w:r w:rsidRPr="00300A77">
        <w:rPr>
          <w:rFonts w:cs="Arial"/>
        </w:rPr>
        <w:t>s</w:t>
      </w:r>
      <w:r w:rsidR="00103C67" w:rsidRPr="00300A77">
        <w:rPr>
          <w:rFonts w:cs="Arial"/>
        </w:rPr>
        <w:t>ing</w:t>
      </w:r>
      <w:proofErr w:type="spellEnd"/>
      <w:r w:rsidR="00103C67" w:rsidRPr="00300A77">
        <w:rPr>
          <w:rFonts w:cs="Arial"/>
        </w:rPr>
        <w:t xml:space="preserve"> the mining industry, a sector with huge energy demand at the core of the energy transition. This partnership perfectly embodies ENGIE’s strategy to develop hydrogen-based solutions on an industrial scale to help energy-intensive industries like the mining sector in their journey to </w:t>
      </w:r>
      <w:proofErr w:type="spellStart"/>
      <w:r w:rsidR="00103C67" w:rsidRPr="00300A77">
        <w:rPr>
          <w:rFonts w:cs="Arial"/>
        </w:rPr>
        <w:t>decarboni</w:t>
      </w:r>
      <w:r w:rsidRPr="00300A77">
        <w:rPr>
          <w:rFonts w:cs="Arial"/>
        </w:rPr>
        <w:t>s</w:t>
      </w:r>
      <w:r w:rsidR="00103C67" w:rsidRPr="00300A77">
        <w:rPr>
          <w:rFonts w:cs="Arial"/>
        </w:rPr>
        <w:t>ation</w:t>
      </w:r>
      <w:proofErr w:type="spellEnd"/>
      <w:r w:rsidR="00103C67" w:rsidRPr="00300A77">
        <w:rPr>
          <w:rFonts w:cs="Arial"/>
        </w:rPr>
        <w:t xml:space="preserve">”, said </w:t>
      </w:r>
      <w:proofErr w:type="spellStart"/>
      <w:r w:rsidR="00103C67" w:rsidRPr="00300A77">
        <w:rPr>
          <w:rFonts w:cs="Arial"/>
        </w:rPr>
        <w:t>Michèle</w:t>
      </w:r>
      <w:proofErr w:type="spellEnd"/>
      <w:r w:rsidR="00103C67" w:rsidRPr="00300A77">
        <w:rPr>
          <w:rFonts w:cs="Arial"/>
        </w:rPr>
        <w:t xml:space="preserve"> AZALBERT, </w:t>
      </w:r>
      <w:r w:rsidR="0062018A">
        <w:t>Managing Director of ENGIE Green Hydrogen</w:t>
      </w:r>
      <w:r w:rsidR="00103C67" w:rsidRPr="00300A77">
        <w:rPr>
          <w:rFonts w:cs="Arial"/>
        </w:rPr>
        <w:t>.</w:t>
      </w:r>
    </w:p>
    <w:p w14:paraId="599842F0" w14:textId="1696C5C6" w:rsidR="003A4322" w:rsidRPr="00300A77" w:rsidRDefault="003A4322" w:rsidP="00A62ED5">
      <w:pPr>
        <w:pStyle w:val="Copytext11Pt"/>
      </w:pPr>
      <w:r w:rsidRPr="00300A77">
        <w:t xml:space="preserve">Oliver Weiss, </w:t>
      </w:r>
      <w:r w:rsidR="00177FB1" w:rsidRPr="00177FB1">
        <w:t xml:space="preserve">EVP R&amp;D, Engineering and Manufacturing </w:t>
      </w:r>
      <w:r w:rsidRPr="00300A77">
        <w:t xml:space="preserve">of Liebherr’s Mining Division continued, “We are very impressed with the </w:t>
      </w:r>
      <w:r w:rsidR="005611F3">
        <w:t xml:space="preserve">real </w:t>
      </w:r>
      <w:r w:rsidRPr="00300A77">
        <w:t xml:space="preserve">ambition of ENGIE to decarbonise the mining industry and highly value the opportunity to collaborate with ENGIE. The complementary in-depth expertise that ENGIE </w:t>
      </w:r>
      <w:r w:rsidRPr="0094649F">
        <w:t>brings to this partnership supports Liebherr</w:t>
      </w:r>
      <w:r w:rsidRPr="00300A77">
        <w:t>’s</w:t>
      </w:r>
      <w:r w:rsidRPr="0094649F">
        <w:t xml:space="preserve"> strategy to provide the </w:t>
      </w:r>
      <w:r w:rsidRPr="00300A77">
        <w:t>m</w:t>
      </w:r>
      <w:r w:rsidRPr="0094649F">
        <w:t>ining industry with practical and scalable decarbonisation solutions based on renewable hydrogen and hydrogen-based fuels.”</w:t>
      </w:r>
    </w:p>
    <w:p w14:paraId="414CDE96" w14:textId="77777777" w:rsidR="00103C67" w:rsidRPr="00485E20" w:rsidRDefault="00103C67" w:rsidP="00103C67">
      <w:pPr>
        <w:shd w:val="clear" w:color="auto" w:fill="FFFFFF"/>
        <w:spacing w:after="16" w:line="22" w:lineRule="atLeast"/>
        <w:jc w:val="both"/>
        <w:rPr>
          <w:rFonts w:ascii="Calibri" w:hAnsi="Calibri" w:cs="Calibri"/>
          <w:color w:val="222222"/>
          <w:lang w:val="en-US"/>
        </w:rPr>
      </w:pPr>
    </w:p>
    <w:p w14:paraId="3D03F277" w14:textId="77777777" w:rsidR="00103C67" w:rsidRPr="003E62FB" w:rsidRDefault="00103C67" w:rsidP="00103C67">
      <w:pPr>
        <w:pStyle w:val="BoilerplateCopyhead9Pt"/>
        <w:rPr>
          <w:lang w:val="en-GB"/>
        </w:rPr>
      </w:pPr>
      <w:r w:rsidRPr="003E62FB">
        <w:rPr>
          <w:lang w:val="en-GB"/>
        </w:rPr>
        <w:t>About the Liebherr Group</w:t>
      </w:r>
    </w:p>
    <w:p w14:paraId="5B798E21" w14:textId="77777777" w:rsidR="00103C67" w:rsidRPr="003E62FB" w:rsidRDefault="00103C67" w:rsidP="00103C67">
      <w:pPr>
        <w:pStyle w:val="BoilerplateCopytext9Pt"/>
        <w:rPr>
          <w:lang w:val="en-GB"/>
        </w:rPr>
      </w:pPr>
      <w:r w:rsidRPr="003E62FB">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3E62FB">
        <w:rPr>
          <w:lang w:val="en-GB"/>
        </w:rPr>
        <w:t>Kirchdorf</w:t>
      </w:r>
      <w:proofErr w:type="spellEnd"/>
      <w:r w:rsidRPr="003E62FB">
        <w:rPr>
          <w:lang w:val="en-GB"/>
        </w:rPr>
        <w:t xml:space="preserve"> an der </w:t>
      </w:r>
      <w:proofErr w:type="spellStart"/>
      <w:r w:rsidRPr="003E62FB">
        <w:rPr>
          <w:lang w:val="en-GB"/>
        </w:rPr>
        <w:t>Iller</w:t>
      </w:r>
      <w:proofErr w:type="spellEnd"/>
      <w:r w:rsidRPr="003E62FB">
        <w:rPr>
          <w:lang w:val="en-GB"/>
        </w:rPr>
        <w:t xml:space="preserve"> in Southern Germany in 1949. Since then, the employees have been pursuing the goal of achieving continuous technological innovation, and bringing industry-leading solutions to its customers.</w:t>
      </w:r>
    </w:p>
    <w:p w14:paraId="614E6C17" w14:textId="77777777" w:rsidR="00103C67" w:rsidRPr="003E62FB" w:rsidRDefault="00103C67" w:rsidP="00103C67">
      <w:pPr>
        <w:pStyle w:val="BoilerplateCopyhead9Pt"/>
        <w:rPr>
          <w:lang w:val="en-GB"/>
        </w:rPr>
      </w:pPr>
      <w:r w:rsidRPr="003E62FB">
        <w:rPr>
          <w:lang w:val="en-GB"/>
        </w:rPr>
        <w:t>About ENGIE</w:t>
      </w:r>
    </w:p>
    <w:p w14:paraId="1895A1F9" w14:textId="77777777" w:rsidR="00103C67" w:rsidRPr="003E62FB" w:rsidRDefault="00103C67" w:rsidP="00103C67">
      <w:pPr>
        <w:shd w:val="clear" w:color="auto" w:fill="FFFFFF" w:themeFill="background1"/>
        <w:spacing w:after="16" w:line="22" w:lineRule="atLeast"/>
        <w:jc w:val="both"/>
        <w:rPr>
          <w:rFonts w:ascii="Arial" w:eastAsia="Times New Roman" w:hAnsi="Arial" w:cs="Times New Roman"/>
          <w:sz w:val="18"/>
          <w:szCs w:val="18"/>
          <w:lang w:eastAsia="de-DE"/>
        </w:rPr>
      </w:pPr>
      <w:r w:rsidRPr="003E62FB">
        <w:rPr>
          <w:rFonts w:ascii="Arial" w:eastAsia="Times New Roman" w:hAnsi="Arial" w:cs="Times New Roman"/>
          <w:sz w:val="18"/>
          <w:szCs w:val="18"/>
          <w:lang w:eastAsia="de-DE"/>
        </w:rPr>
        <w:t>The ENGIE group is a global reference in low-carbon energy and services. Together with our 170,000 employees, our customers, partners and stakeholders, we are committed to accelerate the transition towards a carbon-neutral world, through reduced energy consumption and more environmentally friendly solutions. Inspired by our purpose (“raison d’être”), we reconcile economic performance with a positive impact on people and the planet, building on our key businesses (gas, renewable energy, services) to offer competitive solutions to our customers.</w:t>
      </w:r>
    </w:p>
    <w:p w14:paraId="3F738B59" w14:textId="77777777" w:rsidR="00103C67" w:rsidRPr="003E62FB" w:rsidRDefault="00103C67" w:rsidP="00103C67">
      <w:pPr>
        <w:shd w:val="clear" w:color="auto" w:fill="FFFFFF" w:themeFill="background1"/>
        <w:spacing w:after="16" w:line="22" w:lineRule="atLeast"/>
        <w:jc w:val="both"/>
        <w:rPr>
          <w:rFonts w:ascii="Arial" w:eastAsia="Times New Roman" w:hAnsi="Arial" w:cs="Times New Roman"/>
          <w:sz w:val="18"/>
          <w:szCs w:val="18"/>
          <w:lang w:eastAsia="de-DE"/>
        </w:rPr>
      </w:pPr>
      <w:r w:rsidRPr="003E62FB">
        <w:rPr>
          <w:rFonts w:ascii="Arial" w:eastAsia="Times New Roman" w:hAnsi="Arial" w:cs="Times New Roman"/>
          <w:sz w:val="18"/>
          <w:szCs w:val="18"/>
          <w:lang w:eastAsia="de-DE"/>
        </w:rPr>
        <w:t xml:space="preserve">Turnover in 2020: 55.8 billion Euros. The Group is listed on the Paris and Brussels stock exchanges (ENGI) and is represented in the main financial indices (CAC 40, DJ Euro </w:t>
      </w:r>
      <w:proofErr w:type="spellStart"/>
      <w:r w:rsidRPr="003E62FB">
        <w:rPr>
          <w:rFonts w:ascii="Arial" w:eastAsia="Times New Roman" w:hAnsi="Arial" w:cs="Times New Roman"/>
          <w:sz w:val="18"/>
          <w:szCs w:val="18"/>
          <w:lang w:eastAsia="de-DE"/>
        </w:rPr>
        <w:t>Stoxx</w:t>
      </w:r>
      <w:proofErr w:type="spellEnd"/>
      <w:r w:rsidRPr="003E62FB">
        <w:rPr>
          <w:rFonts w:ascii="Arial" w:eastAsia="Times New Roman" w:hAnsi="Arial" w:cs="Times New Roman"/>
          <w:sz w:val="18"/>
          <w:szCs w:val="18"/>
          <w:lang w:eastAsia="de-DE"/>
        </w:rPr>
        <w:t xml:space="preserve"> 50, Euronext 100, FTSE </w:t>
      </w:r>
      <w:proofErr w:type="spellStart"/>
      <w:r w:rsidRPr="003E62FB">
        <w:rPr>
          <w:rFonts w:ascii="Arial" w:eastAsia="Times New Roman" w:hAnsi="Arial" w:cs="Times New Roman"/>
          <w:sz w:val="18"/>
          <w:szCs w:val="18"/>
          <w:lang w:eastAsia="de-DE"/>
        </w:rPr>
        <w:t>Eurotop</w:t>
      </w:r>
      <w:proofErr w:type="spellEnd"/>
      <w:r w:rsidRPr="003E62FB">
        <w:rPr>
          <w:rFonts w:ascii="Arial" w:eastAsia="Times New Roman" w:hAnsi="Arial" w:cs="Times New Roman"/>
          <w:sz w:val="18"/>
          <w:szCs w:val="18"/>
          <w:lang w:eastAsia="de-DE"/>
        </w:rPr>
        <w:t xml:space="preserve"> 100, MSCI Europe) and non-financial indices (DJSI World, DJSI Europe and Euronext </w:t>
      </w:r>
      <w:proofErr w:type="spellStart"/>
      <w:r w:rsidRPr="003E62FB">
        <w:rPr>
          <w:rFonts w:ascii="Arial" w:eastAsia="Times New Roman" w:hAnsi="Arial" w:cs="Times New Roman"/>
          <w:sz w:val="18"/>
          <w:szCs w:val="18"/>
          <w:lang w:eastAsia="de-DE"/>
        </w:rPr>
        <w:t>Vigeo</w:t>
      </w:r>
      <w:proofErr w:type="spellEnd"/>
      <w:r w:rsidRPr="003E62FB">
        <w:rPr>
          <w:rFonts w:ascii="Arial" w:eastAsia="Times New Roman" w:hAnsi="Arial" w:cs="Times New Roman"/>
          <w:sz w:val="18"/>
          <w:szCs w:val="18"/>
          <w:lang w:eastAsia="de-DE"/>
        </w:rPr>
        <w:t xml:space="preserve"> </w:t>
      </w:r>
      <w:proofErr w:type="spellStart"/>
      <w:r w:rsidRPr="003E62FB">
        <w:rPr>
          <w:rFonts w:ascii="Arial" w:eastAsia="Times New Roman" w:hAnsi="Arial" w:cs="Times New Roman"/>
          <w:sz w:val="18"/>
          <w:szCs w:val="18"/>
          <w:lang w:eastAsia="de-DE"/>
        </w:rPr>
        <w:t>Eiris</w:t>
      </w:r>
      <w:proofErr w:type="spellEnd"/>
      <w:r w:rsidRPr="003E62FB">
        <w:rPr>
          <w:rFonts w:ascii="Arial" w:eastAsia="Times New Roman" w:hAnsi="Arial" w:cs="Times New Roman"/>
          <w:sz w:val="18"/>
          <w:szCs w:val="18"/>
          <w:lang w:eastAsia="de-DE"/>
        </w:rPr>
        <w:t xml:space="preserve"> - World 120, Eurozone 120, Europe 120, France 20, CAC 40 Governance).</w:t>
      </w:r>
    </w:p>
    <w:p w14:paraId="4EB5B085" w14:textId="77777777" w:rsidR="00103C67" w:rsidRPr="003E62FB" w:rsidRDefault="00103C67" w:rsidP="00103C67">
      <w:pPr>
        <w:shd w:val="clear" w:color="auto" w:fill="FFFFFF" w:themeFill="background1"/>
        <w:spacing w:after="16" w:line="22" w:lineRule="atLeast"/>
        <w:jc w:val="both"/>
        <w:rPr>
          <w:rFonts w:ascii="Arial" w:eastAsia="Times New Roman" w:hAnsi="Arial" w:cs="Times New Roman"/>
          <w:i/>
          <w:iCs/>
          <w:sz w:val="18"/>
          <w:szCs w:val="18"/>
          <w:lang w:eastAsia="de-DE"/>
        </w:rPr>
      </w:pPr>
    </w:p>
    <w:p w14:paraId="36934F5D" w14:textId="77777777" w:rsidR="00A62ED5" w:rsidRPr="002A5C30" w:rsidRDefault="00A62ED5">
      <w:pPr>
        <w:spacing w:after="0" w:line="240" w:lineRule="auto"/>
        <w:rPr>
          <w:rFonts w:ascii="Arial" w:eastAsia="Times New Roman" w:hAnsi="Arial" w:cs="Times New Roman"/>
          <w:b/>
          <w:szCs w:val="18"/>
          <w:lang w:val="en-US" w:eastAsia="de-DE"/>
        </w:rPr>
      </w:pPr>
      <w:r w:rsidRPr="002A5C30">
        <w:rPr>
          <w:lang w:val="en-US"/>
        </w:rPr>
        <w:br w:type="page"/>
      </w:r>
    </w:p>
    <w:p w14:paraId="2B41BA54" w14:textId="5D84468C" w:rsidR="00103C67" w:rsidRPr="0062018A" w:rsidRDefault="00A62ED5" w:rsidP="00103C67">
      <w:pPr>
        <w:pStyle w:val="Copyhead11Pt"/>
      </w:pPr>
      <w:r>
        <w:rPr>
          <w:noProof/>
          <w:lang w:val="de-DE"/>
        </w:rPr>
        <w:lastRenderedPageBreak/>
        <w:drawing>
          <wp:anchor distT="0" distB="0" distL="114300" distR="114300" simplePos="0" relativeHeight="251661312" behindDoc="0" locked="0" layoutInCell="1" allowOverlap="1" wp14:anchorId="09AEA438" wp14:editId="790EE219">
            <wp:simplePos x="0" y="0"/>
            <wp:positionH relativeFrom="margin">
              <wp:align>left</wp:align>
            </wp:positionH>
            <wp:positionV relativeFrom="paragraph">
              <wp:posOffset>227965</wp:posOffset>
            </wp:positionV>
            <wp:extent cx="2160000" cy="1215053"/>
            <wp:effectExtent l="0" t="0" r="0" b="444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hqprint">
                      <a:extLst>
                        <a:ext uri="{28A0092B-C50C-407E-A947-70E740481C1C}">
                          <a14:useLocalDpi xmlns:a14="http://schemas.microsoft.com/office/drawing/2010/main" val="0"/>
                        </a:ext>
                      </a:extLst>
                    </a:blip>
                    <a:srcRect/>
                    <a:stretch>
                      <a:fillRect/>
                    </a:stretch>
                  </pic:blipFill>
                  <pic:spPr bwMode="auto">
                    <a:xfrm>
                      <a:off x="0" y="0"/>
                      <a:ext cx="2160000" cy="1215053"/>
                    </a:xfrm>
                    <a:prstGeom prst="rect">
                      <a:avLst/>
                    </a:prstGeom>
                    <a:noFill/>
                    <a:ln>
                      <a:noFill/>
                    </a:ln>
                  </pic:spPr>
                </pic:pic>
              </a:graphicData>
            </a:graphic>
            <wp14:sizeRelH relativeFrom="page">
              <wp14:pctWidth>0</wp14:pctWidth>
            </wp14:sizeRelH>
            <wp14:sizeRelV relativeFrom="page">
              <wp14:pctHeight>0</wp14:pctHeight>
            </wp14:sizeRelV>
          </wp:anchor>
        </w:drawing>
      </w:r>
      <w:r w:rsidR="00103C67" w:rsidRPr="0062018A">
        <w:t>Images</w:t>
      </w:r>
    </w:p>
    <w:p w14:paraId="13960475" w14:textId="19058CF4" w:rsidR="00103C67" w:rsidRPr="0062018A" w:rsidRDefault="00103C67" w:rsidP="00103C67">
      <w:pPr>
        <w:pStyle w:val="Caption9Pt"/>
        <w:spacing w:after="0"/>
        <w:rPr>
          <w:lang w:val="en-US"/>
        </w:rPr>
      </w:pPr>
    </w:p>
    <w:p w14:paraId="75266B2C" w14:textId="02809302" w:rsidR="00A62ED5" w:rsidRPr="00A62ED5" w:rsidRDefault="002A5C30" w:rsidP="00A62ED5">
      <w:pPr>
        <w:pStyle w:val="Caption9Pt"/>
      </w:pPr>
      <w:proofErr w:type="gramStart"/>
      <w:r w:rsidRPr="0062018A">
        <w:rPr>
          <w:lang w:val="en-US"/>
        </w:rPr>
        <w:t>r</w:t>
      </w:r>
      <w:r>
        <w:t>enewable-</w:t>
      </w:r>
      <w:r w:rsidR="00A62ED5" w:rsidRPr="00A62ED5">
        <w:t>H2.jpg</w:t>
      </w:r>
      <w:proofErr w:type="gramEnd"/>
      <w:r w:rsidR="00A62ED5" w:rsidRPr="00A62ED5">
        <w:br/>
        <w:t>Liebherr and ENGIE will evaluate different renewable energies, in particular renewable hydrogen.</w:t>
      </w:r>
    </w:p>
    <w:p w14:paraId="01CCEF90" w14:textId="77777777" w:rsidR="00103C67" w:rsidRPr="003E62FB" w:rsidRDefault="00103C67" w:rsidP="00103C67">
      <w:pPr>
        <w:pStyle w:val="Caption9Pt"/>
        <w:spacing w:after="0"/>
      </w:pPr>
    </w:p>
    <w:p w14:paraId="2E0F0EA7" w14:textId="77777777" w:rsidR="00103C67" w:rsidRPr="003E62FB" w:rsidRDefault="00103C67" w:rsidP="00103C67">
      <w:pPr>
        <w:pStyle w:val="Copyhead11Pt"/>
        <w:rPr>
          <w:lang w:val="en-GB"/>
        </w:rPr>
      </w:pPr>
      <w:r w:rsidRPr="003E62FB">
        <w:rPr>
          <w:lang w:val="en-GB"/>
        </w:rPr>
        <w:t>Contact person Liebherr</w:t>
      </w:r>
    </w:p>
    <w:p w14:paraId="12B1DE03" w14:textId="77777777" w:rsidR="00103C67" w:rsidRPr="003E62FB" w:rsidRDefault="00103C67" w:rsidP="00103C67">
      <w:pPr>
        <w:pStyle w:val="Copytext11Pt"/>
        <w:rPr>
          <w:lang w:val="en-GB"/>
        </w:rPr>
      </w:pPr>
      <w:r w:rsidRPr="003E62FB">
        <w:rPr>
          <w:lang w:val="en-GB"/>
        </w:rPr>
        <w:t>Swann Blaise</w:t>
      </w:r>
      <w:r w:rsidRPr="003E62FB">
        <w:rPr>
          <w:lang w:val="en-GB"/>
        </w:rPr>
        <w:br/>
        <w:t xml:space="preserve">Divisional General Manager, Marketing &amp; Business Intelligence </w:t>
      </w:r>
      <w:r w:rsidRPr="003E62FB">
        <w:rPr>
          <w:lang w:val="en-GB"/>
        </w:rPr>
        <w:br/>
        <w:t xml:space="preserve">Telephone: </w:t>
      </w:r>
      <w:hyperlink r:id="rId10" w:history="1">
        <w:r w:rsidRPr="003E62FB">
          <w:rPr>
            <w:lang w:val="en-GB"/>
          </w:rPr>
          <w:t>+1 757 928 2239</w:t>
        </w:r>
      </w:hyperlink>
      <w:r w:rsidRPr="003E62FB">
        <w:rPr>
          <w:lang w:val="en-GB"/>
        </w:rPr>
        <w:br/>
        <w:t xml:space="preserve">E-Mail: swann.blaise@liebherr.com </w:t>
      </w:r>
    </w:p>
    <w:p w14:paraId="4C9ECC31" w14:textId="77777777" w:rsidR="00103C67" w:rsidRPr="00485E20" w:rsidRDefault="00103C67" w:rsidP="00103C67">
      <w:pPr>
        <w:pStyle w:val="Copyhead11Pt"/>
        <w:rPr>
          <w:lang w:val="fr-FR"/>
        </w:rPr>
      </w:pPr>
      <w:r w:rsidRPr="00485E20">
        <w:rPr>
          <w:lang w:val="fr-FR"/>
        </w:rPr>
        <w:t xml:space="preserve">Contact </w:t>
      </w:r>
      <w:proofErr w:type="spellStart"/>
      <w:r w:rsidRPr="00485E20">
        <w:rPr>
          <w:lang w:val="fr-FR"/>
        </w:rPr>
        <w:t>person</w:t>
      </w:r>
      <w:proofErr w:type="spellEnd"/>
      <w:r w:rsidRPr="00485E20">
        <w:rPr>
          <w:lang w:val="fr-FR"/>
        </w:rPr>
        <w:t xml:space="preserve"> </w:t>
      </w:r>
      <w:proofErr w:type="spellStart"/>
      <w:r w:rsidRPr="00485E20">
        <w:rPr>
          <w:lang w:val="fr-FR"/>
        </w:rPr>
        <w:t>Engie</w:t>
      </w:r>
      <w:proofErr w:type="spellEnd"/>
    </w:p>
    <w:p w14:paraId="030C4900" w14:textId="77777777" w:rsidR="00103C67" w:rsidRPr="00485E20" w:rsidRDefault="00103C67" w:rsidP="00103C67">
      <w:pPr>
        <w:pStyle w:val="Copytext11Pt"/>
        <w:rPr>
          <w:lang w:val="fr-FR"/>
        </w:rPr>
      </w:pPr>
      <w:proofErr w:type="spellStart"/>
      <w:r w:rsidRPr="00485E20">
        <w:rPr>
          <w:lang w:val="fr-FR"/>
        </w:rPr>
        <w:t>Volanov</w:t>
      </w:r>
      <w:proofErr w:type="spellEnd"/>
      <w:r w:rsidRPr="00485E20">
        <w:rPr>
          <w:lang w:val="fr-FR"/>
        </w:rPr>
        <w:t xml:space="preserve"> &amp; Associé</w:t>
      </w:r>
      <w:r>
        <w:rPr>
          <w:lang w:val="fr-FR"/>
        </w:rPr>
        <w:t>s</w:t>
      </w:r>
      <w:r w:rsidRPr="00485E20">
        <w:rPr>
          <w:lang w:val="fr-FR"/>
        </w:rPr>
        <w:br/>
      </w:r>
      <w:proofErr w:type="spellStart"/>
      <w:r w:rsidRPr="00485E20">
        <w:rPr>
          <w:lang w:val="fr-FR"/>
        </w:rPr>
        <w:t>Telephone</w:t>
      </w:r>
      <w:proofErr w:type="spellEnd"/>
      <w:r w:rsidRPr="00485E20">
        <w:rPr>
          <w:lang w:val="fr-FR"/>
        </w:rPr>
        <w:t xml:space="preserve">: </w:t>
      </w:r>
      <w:r w:rsidRPr="00A62ED5">
        <w:rPr>
          <w:lang w:val="fr-FR"/>
        </w:rPr>
        <w:t xml:space="preserve">+33 (0)6 88 29 72 37 </w:t>
      </w:r>
      <w:hyperlink r:id="rId11" w:history="1"/>
      <w:r w:rsidRPr="00485E20">
        <w:rPr>
          <w:lang w:val="fr-FR"/>
        </w:rPr>
        <w:br/>
        <w:t xml:space="preserve">E-Mail: </w:t>
      </w:r>
      <w:hyperlink r:id="rId12" w:history="1">
        <w:r w:rsidRPr="009C5CCB">
          <w:rPr>
            <w:lang w:val="fr-FR"/>
          </w:rPr>
          <w:t>engie@volanov.com</w:t>
        </w:r>
      </w:hyperlink>
      <w:r w:rsidRPr="00485E20">
        <w:rPr>
          <w:lang w:val="fr-FR"/>
        </w:rPr>
        <w:t xml:space="preserve"> </w:t>
      </w:r>
    </w:p>
    <w:p w14:paraId="09592646" w14:textId="77777777" w:rsidR="00103C67" w:rsidRPr="003E62FB" w:rsidRDefault="00103C67" w:rsidP="00103C67">
      <w:pPr>
        <w:pStyle w:val="Copyhead11Pt"/>
        <w:rPr>
          <w:lang w:val="en-GB"/>
        </w:rPr>
      </w:pPr>
      <w:r w:rsidRPr="003E62FB">
        <w:rPr>
          <w:lang w:val="en-GB"/>
        </w:rPr>
        <w:t>Published by</w:t>
      </w:r>
    </w:p>
    <w:p w14:paraId="3C1DF16C" w14:textId="77777777" w:rsidR="00103C67" w:rsidRPr="003E62FB" w:rsidRDefault="00103C67" w:rsidP="00103C67">
      <w:pPr>
        <w:pStyle w:val="Copytext11Pt"/>
        <w:rPr>
          <w:lang w:val="en-GB"/>
        </w:rPr>
      </w:pPr>
      <w:r w:rsidRPr="003E62FB">
        <w:rPr>
          <w:lang w:val="en-GB"/>
        </w:rPr>
        <w:t xml:space="preserve">Liebherr-Mining Equipment SAS </w:t>
      </w:r>
      <w:r w:rsidRPr="003E62FB">
        <w:rPr>
          <w:lang w:val="en-GB"/>
        </w:rPr>
        <w:br/>
        <w:t>Colmar / France</w:t>
      </w:r>
      <w:r w:rsidRPr="003E62FB">
        <w:rPr>
          <w:lang w:val="en-GB"/>
        </w:rPr>
        <w:br/>
        <w:t>www.liebherr.com</w:t>
      </w:r>
    </w:p>
    <w:p w14:paraId="63C38A39" w14:textId="77777777" w:rsidR="00F22ABD" w:rsidRDefault="00625ED5"/>
    <w:sectPr w:rsidR="00F22ABD"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716B0" w14:textId="77777777" w:rsidR="00326C0A" w:rsidRDefault="00326C0A">
      <w:pPr>
        <w:spacing w:after="0" w:line="240" w:lineRule="auto"/>
      </w:pPr>
      <w:r>
        <w:separator/>
      </w:r>
    </w:p>
  </w:endnote>
  <w:endnote w:type="continuationSeparator" w:id="0">
    <w:p w14:paraId="2C0184FD" w14:textId="77777777" w:rsidR="00326C0A" w:rsidRDefault="00326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EEC9F" w14:textId="32F7C926" w:rsidR="00965077" w:rsidRPr="00652E53" w:rsidRDefault="00103C67"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25ED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25ED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25ED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25ED5">
      <w:rPr>
        <w:rFonts w:ascii="Arial" w:hAnsi="Arial" w:cs="Arial"/>
      </w:rPr>
      <w:fldChar w:fldCharType="separate"/>
    </w:r>
    <w:r w:rsidR="00625ED5">
      <w:rPr>
        <w:rFonts w:ascii="Arial" w:hAnsi="Arial" w:cs="Arial"/>
        <w:noProof/>
      </w:rPr>
      <w:t>1</w:t>
    </w:r>
    <w:r w:rsidR="00625ED5" w:rsidRPr="0093605C">
      <w:rPr>
        <w:rFonts w:ascii="Arial" w:hAnsi="Arial" w:cs="Arial"/>
        <w:noProof/>
      </w:rPr>
      <w:t>/</w:t>
    </w:r>
    <w:r w:rsidR="00625ED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9804B8" w14:textId="77777777" w:rsidR="00326C0A" w:rsidRDefault="00326C0A">
      <w:pPr>
        <w:spacing w:after="0" w:line="240" w:lineRule="auto"/>
      </w:pPr>
      <w:r>
        <w:separator/>
      </w:r>
    </w:p>
  </w:footnote>
  <w:footnote w:type="continuationSeparator" w:id="0">
    <w:p w14:paraId="21A1141D" w14:textId="77777777" w:rsidR="00326C0A" w:rsidRDefault="00326C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de-DE" w:vendorID="64" w:dllVersion="6" w:nlCheck="1" w:checkStyle="0"/>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activeWritingStyle w:appName="MSWord" w:lang="en-GB" w:vendorID="64" w:dllVersion="131078" w:nlCheck="1" w:checkStyle="1"/>
  <w:activeWritingStyle w:appName="MSWord" w:lang="fr-FR" w:vendorID="64" w:dllVersion="131078" w:nlCheck="1" w:checkStyle="0"/>
  <w:activeWritingStyle w:appName="MSWord" w:lang="de-DE"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C67"/>
    <w:rsid w:val="00002361"/>
    <w:rsid w:val="000355F1"/>
    <w:rsid w:val="00052709"/>
    <w:rsid w:val="000B4235"/>
    <w:rsid w:val="000C0DB7"/>
    <w:rsid w:val="000C265D"/>
    <w:rsid w:val="000D496E"/>
    <w:rsid w:val="000D540D"/>
    <w:rsid w:val="000F1409"/>
    <w:rsid w:val="000F2EBA"/>
    <w:rsid w:val="00103C67"/>
    <w:rsid w:val="0011545D"/>
    <w:rsid w:val="00123E1F"/>
    <w:rsid w:val="001328CF"/>
    <w:rsid w:val="00144CE7"/>
    <w:rsid w:val="00163E1E"/>
    <w:rsid w:val="001740AD"/>
    <w:rsid w:val="00177FB1"/>
    <w:rsid w:val="001A7109"/>
    <w:rsid w:val="001E2871"/>
    <w:rsid w:val="001F6B28"/>
    <w:rsid w:val="00202630"/>
    <w:rsid w:val="0021623B"/>
    <w:rsid w:val="00250C7D"/>
    <w:rsid w:val="0028381B"/>
    <w:rsid w:val="00286795"/>
    <w:rsid w:val="002910AE"/>
    <w:rsid w:val="002A5C30"/>
    <w:rsid w:val="002B0CDD"/>
    <w:rsid w:val="002C546F"/>
    <w:rsid w:val="002D56C3"/>
    <w:rsid w:val="002D6E9E"/>
    <w:rsid w:val="002E5108"/>
    <w:rsid w:val="002F1C90"/>
    <w:rsid w:val="002F4F34"/>
    <w:rsid w:val="003006DD"/>
    <w:rsid w:val="00300A77"/>
    <w:rsid w:val="00304BA8"/>
    <w:rsid w:val="00306A2C"/>
    <w:rsid w:val="003151FD"/>
    <w:rsid w:val="00326C0A"/>
    <w:rsid w:val="003517C4"/>
    <w:rsid w:val="00367E90"/>
    <w:rsid w:val="003828E6"/>
    <w:rsid w:val="003A4322"/>
    <w:rsid w:val="003B144E"/>
    <w:rsid w:val="003B39C5"/>
    <w:rsid w:val="003F6CBC"/>
    <w:rsid w:val="00415DCF"/>
    <w:rsid w:val="00423502"/>
    <w:rsid w:val="004401CB"/>
    <w:rsid w:val="00443498"/>
    <w:rsid w:val="0044515E"/>
    <w:rsid w:val="004575CF"/>
    <w:rsid w:val="0047563C"/>
    <w:rsid w:val="004B6CEC"/>
    <w:rsid w:val="004C1D6A"/>
    <w:rsid w:val="004C696C"/>
    <w:rsid w:val="004D2260"/>
    <w:rsid w:val="00506DE2"/>
    <w:rsid w:val="00512C6A"/>
    <w:rsid w:val="005310F5"/>
    <w:rsid w:val="005611F3"/>
    <w:rsid w:val="00580693"/>
    <w:rsid w:val="005A3516"/>
    <w:rsid w:val="005B24A6"/>
    <w:rsid w:val="005C0C49"/>
    <w:rsid w:val="005D5407"/>
    <w:rsid w:val="0062018A"/>
    <w:rsid w:val="00623DF6"/>
    <w:rsid w:val="00625ED5"/>
    <w:rsid w:val="0064589A"/>
    <w:rsid w:val="006722C5"/>
    <w:rsid w:val="0067323D"/>
    <w:rsid w:val="00674617"/>
    <w:rsid w:val="00674E7E"/>
    <w:rsid w:val="006770EE"/>
    <w:rsid w:val="00677434"/>
    <w:rsid w:val="006917B7"/>
    <w:rsid w:val="006D0BD9"/>
    <w:rsid w:val="006E443F"/>
    <w:rsid w:val="006F3EEB"/>
    <w:rsid w:val="00700D1D"/>
    <w:rsid w:val="00730147"/>
    <w:rsid w:val="00756E02"/>
    <w:rsid w:val="00757047"/>
    <w:rsid w:val="00757C60"/>
    <w:rsid w:val="007633B9"/>
    <w:rsid w:val="00773E2B"/>
    <w:rsid w:val="0077685F"/>
    <w:rsid w:val="00784A77"/>
    <w:rsid w:val="00790145"/>
    <w:rsid w:val="007902AF"/>
    <w:rsid w:val="00796B87"/>
    <w:rsid w:val="007A2B0E"/>
    <w:rsid w:val="007A62EC"/>
    <w:rsid w:val="007B4B9C"/>
    <w:rsid w:val="007B4EB4"/>
    <w:rsid w:val="007C5B3F"/>
    <w:rsid w:val="007F242E"/>
    <w:rsid w:val="00802A90"/>
    <w:rsid w:val="00816BA8"/>
    <w:rsid w:val="00875B40"/>
    <w:rsid w:val="00885BBB"/>
    <w:rsid w:val="00894134"/>
    <w:rsid w:val="008B4FBD"/>
    <w:rsid w:val="008D20A8"/>
    <w:rsid w:val="008D3A72"/>
    <w:rsid w:val="008F61B2"/>
    <w:rsid w:val="008F7F74"/>
    <w:rsid w:val="00914821"/>
    <w:rsid w:val="009243B2"/>
    <w:rsid w:val="009300D1"/>
    <w:rsid w:val="0094405F"/>
    <w:rsid w:val="00960345"/>
    <w:rsid w:val="00965E6F"/>
    <w:rsid w:val="0098234B"/>
    <w:rsid w:val="00982A50"/>
    <w:rsid w:val="00993890"/>
    <w:rsid w:val="009A71EF"/>
    <w:rsid w:val="009C0E58"/>
    <w:rsid w:val="009C5CCB"/>
    <w:rsid w:val="009D3B90"/>
    <w:rsid w:val="00A30AFF"/>
    <w:rsid w:val="00A42B57"/>
    <w:rsid w:val="00A4557E"/>
    <w:rsid w:val="00A62ED5"/>
    <w:rsid w:val="00AA34C9"/>
    <w:rsid w:val="00AA3A81"/>
    <w:rsid w:val="00AA6570"/>
    <w:rsid w:val="00AB5BC6"/>
    <w:rsid w:val="00AD1113"/>
    <w:rsid w:val="00AF328A"/>
    <w:rsid w:val="00AF7DBF"/>
    <w:rsid w:val="00B011C0"/>
    <w:rsid w:val="00B73106"/>
    <w:rsid w:val="00B74613"/>
    <w:rsid w:val="00B80FD4"/>
    <w:rsid w:val="00BB6C5F"/>
    <w:rsid w:val="00BC0DFF"/>
    <w:rsid w:val="00BD229C"/>
    <w:rsid w:val="00BD2DE4"/>
    <w:rsid w:val="00BE5213"/>
    <w:rsid w:val="00BE6FFF"/>
    <w:rsid w:val="00C01DA9"/>
    <w:rsid w:val="00C034BE"/>
    <w:rsid w:val="00C046E0"/>
    <w:rsid w:val="00C2634C"/>
    <w:rsid w:val="00C40EE1"/>
    <w:rsid w:val="00C41C33"/>
    <w:rsid w:val="00C41DE6"/>
    <w:rsid w:val="00C672CB"/>
    <w:rsid w:val="00CA6FFF"/>
    <w:rsid w:val="00CC33F9"/>
    <w:rsid w:val="00CD6E89"/>
    <w:rsid w:val="00D0242C"/>
    <w:rsid w:val="00D415F5"/>
    <w:rsid w:val="00D46439"/>
    <w:rsid w:val="00DC5B05"/>
    <w:rsid w:val="00E117CB"/>
    <w:rsid w:val="00E57A2C"/>
    <w:rsid w:val="00E710D2"/>
    <w:rsid w:val="00E75A41"/>
    <w:rsid w:val="00E80438"/>
    <w:rsid w:val="00E82E12"/>
    <w:rsid w:val="00E977E3"/>
    <w:rsid w:val="00EB1521"/>
    <w:rsid w:val="00EC00DB"/>
    <w:rsid w:val="00ED6C92"/>
    <w:rsid w:val="00EF3510"/>
    <w:rsid w:val="00EF55A6"/>
    <w:rsid w:val="00F02883"/>
    <w:rsid w:val="00F23D61"/>
    <w:rsid w:val="00F25B75"/>
    <w:rsid w:val="00F26093"/>
    <w:rsid w:val="00F3037D"/>
    <w:rsid w:val="00F42AA4"/>
    <w:rsid w:val="00F56E5D"/>
    <w:rsid w:val="00F673C6"/>
    <w:rsid w:val="00F82026"/>
    <w:rsid w:val="00F91F27"/>
    <w:rsid w:val="00F95E57"/>
    <w:rsid w:val="00FB4715"/>
    <w:rsid w:val="00FD4308"/>
    <w:rsid w:val="00FD6D32"/>
    <w:rsid w:val="00FE4554"/>
    <w:rsid w:val="00FF30AA"/>
    <w:rsid w:val="00FF5A9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0EAD06F"/>
  <w14:defaultImageDpi w14:val="32767"/>
  <w15:chartTrackingRefBased/>
  <w15:docId w15:val="{CD579610-593F-5A4E-84AA-FF0CD95826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103C67"/>
    <w:pPr>
      <w:spacing w:after="160" w:line="259" w:lineRule="auto"/>
    </w:pPr>
    <w:rPr>
      <w:rFonts w:eastAsiaTheme="minorEastAsia"/>
      <w:sz w:val="22"/>
      <w:szCs w:val="22"/>
      <w:lang w:val="en-GB" w:eastAsia="zh-C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103C67"/>
    <w:pPr>
      <w:framePr w:w="10206" w:h="1701" w:hRule="exact" w:wrap="notBeside" w:vAnchor="page" w:hAnchor="page" w:x="852" w:y="852" w:anchorLock="1"/>
      <w:spacing w:line="240" w:lineRule="atLeast"/>
      <w:jc w:val="right"/>
    </w:pPr>
    <w:rPr>
      <w:kern w:val="12"/>
      <w:sz w:val="18"/>
      <w:szCs w:val="18"/>
      <w:lang w:val="en-GB"/>
    </w:rPr>
  </w:style>
  <w:style w:type="paragraph" w:customStyle="1" w:styleId="HeadlineH233Pt">
    <w:name w:val="Headline H2 33Pt"/>
    <w:basedOn w:val="Standard"/>
    <w:link w:val="HeadlineH233PtZchn"/>
    <w:rsid w:val="00103C67"/>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103C67"/>
    <w:rPr>
      <w:rFonts w:ascii="Arial" w:eastAsiaTheme="majorEastAsia" w:hAnsi="Arial" w:cstheme="majorBidi"/>
      <w:b/>
      <w:sz w:val="66"/>
      <w:szCs w:val="32"/>
      <w:lang w:val="en-GB"/>
    </w:rPr>
  </w:style>
  <w:style w:type="paragraph" w:styleId="Titel">
    <w:name w:val="Title"/>
    <w:aliases w:val="Headline H2 33Pt."/>
    <w:basedOn w:val="Standard"/>
    <w:next w:val="Standard"/>
    <w:link w:val="TitelZchn"/>
    <w:uiPriority w:val="10"/>
    <w:qFormat/>
    <w:rsid w:val="00103C67"/>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103C67"/>
    <w:rPr>
      <w:rFonts w:ascii="Arial" w:eastAsiaTheme="majorEastAsia" w:hAnsi="Arial" w:cstheme="majorBidi"/>
      <w:b/>
      <w:kern w:val="12"/>
      <w:sz w:val="66"/>
      <w:szCs w:val="56"/>
      <w:lang w:val="en-GB"/>
      <w14:ligatures w14:val="all"/>
    </w:rPr>
  </w:style>
  <w:style w:type="paragraph" w:customStyle="1" w:styleId="Topline16">
    <w:name w:val="Topline 16"/>
    <w:basedOn w:val="Standard"/>
    <w:uiPriority w:val="13"/>
    <w:qFormat/>
    <w:rsid w:val="00103C67"/>
    <w:pPr>
      <w:keepNext/>
      <w:keepLines/>
      <w:spacing w:after="120" w:line="240" w:lineRule="auto"/>
    </w:pPr>
    <w:rPr>
      <w:rFonts w:ascii="Arial" w:eastAsiaTheme="minorHAnsi" w:hAnsi="Arial"/>
      <w:kern w:val="12"/>
      <w:sz w:val="33"/>
      <w:szCs w:val="18"/>
      <w:lang w:eastAsia="en-US"/>
    </w:rPr>
  </w:style>
  <w:style w:type="paragraph" w:customStyle="1" w:styleId="Bulletpoints11Pt1">
    <w:name w:val="Bulletpoints 11Pt1"/>
    <w:basedOn w:val="Standard"/>
    <w:rsid w:val="00103C67"/>
    <w:pPr>
      <w:numPr>
        <w:numId w:val="1"/>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103C67"/>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103C67"/>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103C67"/>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103C67"/>
    <w:rPr>
      <w:rFonts w:ascii="Arial" w:eastAsia="Times New Roman" w:hAnsi="Arial" w:cs="Times New Roman"/>
      <w:b/>
      <w:sz w:val="22"/>
      <w:szCs w:val="18"/>
      <w:lang w:val="en-US" w:eastAsia="de-DE"/>
    </w:rPr>
  </w:style>
  <w:style w:type="character" w:customStyle="1" w:styleId="Copytext11PtZchn">
    <w:name w:val="Copytext 11Pt Zchn"/>
    <w:basedOn w:val="Absatz-Standardschriftart"/>
    <w:link w:val="Copytext11Pt"/>
    <w:rsid w:val="00103C67"/>
    <w:rPr>
      <w:rFonts w:ascii="Arial" w:eastAsia="Times New Roman" w:hAnsi="Arial" w:cs="Times New Roman"/>
      <w:sz w:val="22"/>
      <w:szCs w:val="18"/>
      <w:lang w:val="en-US" w:eastAsia="de-DE"/>
    </w:rPr>
  </w:style>
  <w:style w:type="character" w:customStyle="1" w:styleId="Teaser11PtZchn">
    <w:name w:val="Teaser 11Pt Zchn"/>
    <w:basedOn w:val="Absatz-Standardschriftart"/>
    <w:link w:val="Teaser11Pt"/>
    <w:rsid w:val="00103C67"/>
    <w:rPr>
      <w:rFonts w:ascii="Arial" w:eastAsiaTheme="minorEastAsia" w:hAnsi="Arial"/>
      <w:b/>
      <w:noProof/>
      <w:sz w:val="22"/>
      <w:szCs w:val="22"/>
      <w:lang w:val="en-US" w:eastAsia="de-DE"/>
    </w:rPr>
  </w:style>
  <w:style w:type="paragraph" w:customStyle="1" w:styleId="Bulletpoints11Pt">
    <w:name w:val="Bulletpoints 11Pt"/>
    <w:basedOn w:val="Bulletpoints11Pt1"/>
    <w:link w:val="Bulletpoints11PtZchn"/>
    <w:qFormat/>
    <w:rsid w:val="00103C67"/>
    <w:pPr>
      <w:ind w:left="284" w:hanging="284"/>
    </w:pPr>
  </w:style>
  <w:style w:type="character" w:customStyle="1" w:styleId="Bulletpoints11PtZchn">
    <w:name w:val="Bulletpoints 11Pt Zchn"/>
    <w:basedOn w:val="Absatz-Standardschriftart"/>
    <w:link w:val="Bulletpoints11Pt"/>
    <w:rsid w:val="00103C67"/>
    <w:rPr>
      <w:rFonts w:ascii="Arial" w:hAnsi="Arial" w:cs="Arial"/>
      <w:b/>
      <w:sz w:val="22"/>
      <w:szCs w:val="22"/>
      <w:lang w:val="en-US"/>
    </w:rPr>
  </w:style>
  <w:style w:type="paragraph" w:customStyle="1" w:styleId="BoilerplateCopyhead9Pt">
    <w:name w:val="Boilerplate Copyhead 9Pt"/>
    <w:link w:val="BoilerplateCopyhead9PtZchn"/>
    <w:qFormat/>
    <w:rsid w:val="00103C67"/>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103C67"/>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103C67"/>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103C67"/>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103C67"/>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103C67"/>
    <w:rPr>
      <w:rFonts w:ascii="Arial" w:hAnsi="Arial" w:cs="Arial"/>
      <w:sz w:val="18"/>
      <w:szCs w:val="18"/>
      <w:lang w:val="en-GB"/>
    </w:rPr>
  </w:style>
  <w:style w:type="character" w:styleId="Hyperlink">
    <w:name w:val="Hyperlink"/>
    <w:basedOn w:val="Absatz-Standardschriftart"/>
    <w:unhideWhenUsed/>
    <w:rsid w:val="00103C67"/>
    <w:rPr>
      <w:color w:val="0563C1" w:themeColor="hyperlink"/>
      <w:u w:val="single"/>
    </w:rPr>
  </w:style>
  <w:style w:type="paragraph" w:customStyle="1" w:styleId="zzPageNumberLine">
    <w:name w:val="zz_PageNumberLine"/>
    <w:basedOn w:val="Fuzeile"/>
    <w:uiPriority w:val="99"/>
    <w:rsid w:val="00103C67"/>
    <w:pPr>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103C67"/>
    <w:rPr>
      <w:sz w:val="16"/>
      <w:szCs w:val="16"/>
    </w:rPr>
  </w:style>
  <w:style w:type="paragraph" w:styleId="Kommentartext">
    <w:name w:val="annotation text"/>
    <w:basedOn w:val="Standard"/>
    <w:link w:val="KommentartextZchn"/>
    <w:uiPriority w:val="99"/>
    <w:unhideWhenUsed/>
    <w:rsid w:val="00103C67"/>
    <w:pPr>
      <w:spacing w:line="240" w:lineRule="auto"/>
    </w:pPr>
    <w:rPr>
      <w:sz w:val="20"/>
      <w:szCs w:val="20"/>
    </w:rPr>
  </w:style>
  <w:style w:type="character" w:customStyle="1" w:styleId="KommentartextZchn">
    <w:name w:val="Kommentartext Zchn"/>
    <w:basedOn w:val="Absatz-Standardschriftart"/>
    <w:link w:val="Kommentartext"/>
    <w:uiPriority w:val="99"/>
    <w:rsid w:val="00103C67"/>
    <w:rPr>
      <w:rFonts w:eastAsiaTheme="minorEastAsia"/>
      <w:sz w:val="20"/>
      <w:szCs w:val="20"/>
      <w:lang w:val="en-GB" w:eastAsia="zh-CN"/>
    </w:rPr>
  </w:style>
  <w:style w:type="paragraph" w:styleId="Fuzeile">
    <w:name w:val="footer"/>
    <w:basedOn w:val="Standard"/>
    <w:link w:val="FuzeileZchn"/>
    <w:uiPriority w:val="99"/>
    <w:semiHidden/>
    <w:unhideWhenUsed/>
    <w:rsid w:val="00103C67"/>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103C67"/>
    <w:rPr>
      <w:rFonts w:eastAsiaTheme="minorEastAsia"/>
      <w:sz w:val="22"/>
      <w:szCs w:val="22"/>
      <w:lang w:val="en-GB" w:eastAsia="zh-CN"/>
    </w:rPr>
  </w:style>
  <w:style w:type="character" w:styleId="Platzhaltertext">
    <w:name w:val="Placeholder Text"/>
    <w:basedOn w:val="Absatz-Standardschriftart"/>
    <w:uiPriority w:val="99"/>
    <w:semiHidden/>
    <w:rsid w:val="00103C67"/>
    <w:rPr>
      <w:color w:val="808080"/>
    </w:rPr>
  </w:style>
  <w:style w:type="paragraph" w:styleId="Kommentarthema">
    <w:name w:val="annotation subject"/>
    <w:basedOn w:val="Kommentartext"/>
    <w:next w:val="Kommentartext"/>
    <w:link w:val="KommentarthemaZchn"/>
    <w:uiPriority w:val="99"/>
    <w:semiHidden/>
    <w:unhideWhenUsed/>
    <w:rsid w:val="00103C67"/>
    <w:rPr>
      <w:b/>
      <w:bCs/>
    </w:rPr>
  </w:style>
  <w:style w:type="character" w:customStyle="1" w:styleId="KommentarthemaZchn">
    <w:name w:val="Kommentarthema Zchn"/>
    <w:basedOn w:val="KommentartextZchn"/>
    <w:link w:val="Kommentarthema"/>
    <w:uiPriority w:val="99"/>
    <w:semiHidden/>
    <w:rsid w:val="00103C67"/>
    <w:rPr>
      <w:rFonts w:eastAsiaTheme="minorEastAsia"/>
      <w:b/>
      <w:bCs/>
      <w:sz w:val="20"/>
      <w:szCs w:val="20"/>
      <w:lang w:val="en-GB" w:eastAsia="zh-CN"/>
    </w:rPr>
  </w:style>
  <w:style w:type="paragraph" w:styleId="Sprechblasentext">
    <w:name w:val="Balloon Text"/>
    <w:basedOn w:val="Standard"/>
    <w:link w:val="SprechblasentextZchn"/>
    <w:uiPriority w:val="99"/>
    <w:semiHidden/>
    <w:unhideWhenUsed/>
    <w:rsid w:val="003A4322"/>
    <w:pPr>
      <w:spacing w:after="0"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3A4322"/>
    <w:rPr>
      <w:rFonts w:ascii="Times New Roman" w:eastAsiaTheme="minorEastAsia" w:hAnsi="Times New Roman" w:cs="Times New Roman"/>
      <w:sz w:val="18"/>
      <w:szCs w:val="18"/>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4361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ngie@volanov.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tel:+17579282239"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tel:+17579282239"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CA551D4D0194BDEB569500E94FF9EA3"/>
        <w:category>
          <w:name w:val="General"/>
          <w:gallery w:val="placeholder"/>
        </w:category>
        <w:types>
          <w:type w:val="bbPlcHdr"/>
        </w:types>
        <w:behaviors>
          <w:behavior w:val="content"/>
        </w:behaviors>
        <w:guid w:val="{71221969-33E5-4988-A2B4-6B7340A03B87}"/>
      </w:docPartPr>
      <w:docPartBody>
        <w:p w:rsidR="0022559A" w:rsidRDefault="001A44AC" w:rsidP="001A44AC">
          <w:pPr>
            <w:pStyle w:val="ECA551D4D0194BDEB569500E94FF9EA3"/>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4AC"/>
    <w:rsid w:val="001A44AC"/>
    <w:rsid w:val="0022559A"/>
    <w:rsid w:val="00572AB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A44AC"/>
    <w:rPr>
      <w:color w:val="808080"/>
    </w:rPr>
  </w:style>
  <w:style w:type="paragraph" w:customStyle="1" w:styleId="CE80F0F77CCC434AB523F0FC75895DFD">
    <w:name w:val="CE80F0F77CCC434AB523F0FC75895DFD"/>
    <w:rsid w:val="001A44AC"/>
  </w:style>
  <w:style w:type="paragraph" w:customStyle="1" w:styleId="ECA551D4D0194BDEB569500E94FF9EA3">
    <w:name w:val="ECA551D4D0194BDEB569500E94FF9EA3"/>
    <w:rsid w:val="001A44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515E45-0924-416D-B065-D58E12C25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936</Words>
  <Characters>5901</Characters>
  <Application>Microsoft Office Word</Application>
  <DocSecurity>0</DocSecurity>
  <Lines>49</Lines>
  <Paragraphs>13</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and ENGIE partner to offer carbon-neutral solutions for the mining industry</vt:lpstr>
      <vt:lpstr/>
      <vt:lpstr/>
    </vt:vector>
  </TitlesOfParts>
  <Company>V&amp;A</Company>
  <LinksUpToDate>false</LinksUpToDate>
  <CharactersWithSpaces>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and ENGIE partner to offer carbon-neutral solutions for the mining industry</dc:title>
  <dc:subject/>
  <dc:creator>Alexis Volanov</dc:creator>
  <cp:keywords/>
  <dc:description/>
  <cp:lastModifiedBy>Lunitz Larissa (LHO)</cp:lastModifiedBy>
  <cp:revision>7</cp:revision>
  <cp:lastPrinted>2021-09-15T16:15:00Z</cp:lastPrinted>
  <dcterms:created xsi:type="dcterms:W3CDTF">2021-09-13T17:53:00Z</dcterms:created>
  <dcterms:modified xsi:type="dcterms:W3CDTF">2021-09-15T16:33:00Z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135c4ba-2280-41f8-be7d-6f21d368baa3_Enabled">
    <vt:lpwstr>true</vt:lpwstr>
  </property>
  <property fmtid="{D5CDD505-2E9C-101B-9397-08002B2CF9AE}" pid="3" name="MSIP_Label_c135c4ba-2280-41f8-be7d-6f21d368baa3_SetDate">
    <vt:lpwstr>2021-08-20T13:04:34Z</vt:lpwstr>
  </property>
  <property fmtid="{D5CDD505-2E9C-101B-9397-08002B2CF9AE}" pid="4" name="MSIP_Label_c135c4ba-2280-41f8-be7d-6f21d368baa3_Method">
    <vt:lpwstr>Standard</vt:lpwstr>
  </property>
  <property fmtid="{D5CDD505-2E9C-101B-9397-08002B2CF9AE}" pid="5" name="MSIP_Label_c135c4ba-2280-41f8-be7d-6f21d368baa3_Name">
    <vt:lpwstr>c135c4ba-2280-41f8-be7d-6f21d368baa3</vt:lpwstr>
  </property>
  <property fmtid="{D5CDD505-2E9C-101B-9397-08002B2CF9AE}" pid="6" name="MSIP_Label_c135c4ba-2280-41f8-be7d-6f21d368baa3_SiteId">
    <vt:lpwstr>24139d14-c62c-4c47-8bdd-ce71ea1d50cf</vt:lpwstr>
  </property>
  <property fmtid="{D5CDD505-2E9C-101B-9397-08002B2CF9AE}" pid="7" name="MSIP_Label_c135c4ba-2280-41f8-be7d-6f21d368baa3_ActionId">
    <vt:lpwstr>903d3f01-35d7-4846-953e-60108c71f19a</vt:lpwstr>
  </property>
  <property fmtid="{D5CDD505-2E9C-101B-9397-08002B2CF9AE}" pid="8" name="MSIP_Label_c135c4ba-2280-41f8-be7d-6f21d368baa3_ContentBits">
    <vt:lpwstr>0</vt:lpwstr>
  </property>
</Properties>
</file>