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2AF9" w:rsidRPr="002C1A02" w:rsidRDefault="00A62AF9" w:rsidP="00A62AF9">
      <w:pPr>
        <w:pStyle w:val="Topline16Pt"/>
        <w:spacing w:before="240"/>
      </w:pPr>
      <w:r>
        <w:t>Press release</w:t>
      </w:r>
    </w:p>
    <w:p w:rsidR="00A62AF9" w:rsidRPr="004A0DA8" w:rsidRDefault="004A0DA8" w:rsidP="00A62AF9">
      <w:pPr>
        <w:pStyle w:val="HeadlineH233Pt"/>
        <w:spacing w:line="240" w:lineRule="auto"/>
        <w:rPr>
          <w:rFonts w:cs="Arial"/>
          <w:sz w:val="64"/>
          <w:szCs w:val="64"/>
        </w:rPr>
      </w:pPr>
      <w:r>
        <w:rPr>
          <w:sz w:val="64"/>
          <w:szCs w:val="64"/>
        </w:rPr>
        <w:t>Sardinia – Liebherr LTM 1120</w:t>
      </w:r>
      <w:r>
        <w:rPr>
          <w:sz w:val="64"/>
          <w:szCs w:val="64"/>
        </w:rPr>
        <w:noBreakHyphen/>
        <w:t>4.1 mobile crane with long boom in action at a refinery</w:t>
      </w:r>
    </w:p>
    <w:p w:rsidR="00A62AF9" w:rsidRPr="002C1A02" w:rsidRDefault="00A62AF9" w:rsidP="00A62AF9">
      <w:pPr>
        <w:pStyle w:val="HeadlineH233Pt"/>
        <w:spacing w:before="240" w:after="240" w:line="140" w:lineRule="exact"/>
        <w:rPr>
          <w:rFonts w:ascii="Tahoma" w:hAnsi="Tahoma" w:cs="Tahoma"/>
        </w:rPr>
      </w:pPr>
      <w:r>
        <w:rPr>
          <w:rFonts w:ascii="Tahoma" w:hAnsi="Tahoma"/>
        </w:rPr>
        <w:t>⸺</w:t>
      </w:r>
    </w:p>
    <w:p w:rsidR="002206F1" w:rsidRDefault="00120AD3" w:rsidP="00C157C6">
      <w:pPr>
        <w:pStyle w:val="Bulletpoints11Pt"/>
      </w:pPr>
      <w:r>
        <w:t>At 66 metres, LTM 1120-4.1 has the longest telescopic boom in the 4-axle class</w:t>
      </w:r>
    </w:p>
    <w:p w:rsidR="00A52A3B" w:rsidRPr="00120AD3" w:rsidRDefault="00120AD3" w:rsidP="00120AD3">
      <w:pPr>
        <w:pStyle w:val="Bulletpoints11Pt"/>
      </w:pPr>
      <w:r>
        <w:t>Its outstanding lifting capacity and compact design makes the Liebherr 120 tonne crane perfect for jobs in the petrochemicals industry</w:t>
      </w:r>
    </w:p>
    <w:p w:rsidR="00120AD3" w:rsidRPr="00120AD3" w:rsidRDefault="00120AD3" w:rsidP="00120AD3">
      <w:pPr>
        <w:pStyle w:val="Bulletpoints11Pt"/>
      </w:pPr>
      <w:proofErr w:type="spellStart"/>
      <w:r>
        <w:t>Mintor</w:t>
      </w:r>
      <w:proofErr w:type="spellEnd"/>
      <w:r>
        <w:t xml:space="preserve"> </w:t>
      </w:r>
      <w:proofErr w:type="spellStart"/>
      <w:r>
        <w:t>Srl</w:t>
      </w:r>
      <w:proofErr w:type="spellEnd"/>
      <w:r>
        <w:t xml:space="preserve"> specialises in the construction and assembly of industry plants</w:t>
      </w:r>
    </w:p>
    <w:p w:rsidR="00B5603F" w:rsidRDefault="004A0DA8" w:rsidP="00A62AF9">
      <w:pPr>
        <w:pStyle w:val="Teaser11Pt"/>
        <w:rPr>
          <w:noProof w:val="0"/>
        </w:rPr>
      </w:pPr>
      <w:r>
        <w:t>The requirements placed on mobile crane</w:t>
      </w:r>
      <w:r w:rsidR="009D045A">
        <w:t>s</w:t>
      </w:r>
      <w:r>
        <w:t xml:space="preserve"> for working in refineries are wide-ranging – long booms, compact design and, above all, high safety standards. The new Liebherr LTM 1120</w:t>
      </w:r>
      <w:r>
        <w:noBreakHyphen/>
        <w:t xml:space="preserve">4.1 mobile crane supplied to the specialist in the construction and assembly of industrial plants, Mintor Srl, was able to demonstrate its strengths recently when carrying out repair work in one of the largest refineries on the Mediterranean. At 66 metres, the 120 tonne crane has the longest telescopic boom in the 4-axle class and can hoist loads which were previously the domain of 5-axle cranes. </w:t>
      </w:r>
    </w:p>
    <w:p w:rsidR="00212198" w:rsidRDefault="00B5603F" w:rsidP="00755C7E">
      <w:pPr>
        <w:pStyle w:val="Copytext11Pt"/>
        <w:spacing w:line="300" w:lineRule="auto"/>
      </w:pPr>
      <w:r>
        <w:t xml:space="preserve">Ehingen (Germany), 11 August 2021 – The </w:t>
      </w:r>
      <w:proofErr w:type="spellStart"/>
      <w:r>
        <w:t>Sarlux</w:t>
      </w:r>
      <w:proofErr w:type="spellEnd"/>
      <w:r>
        <w:t xml:space="preserve"> refinery on an industrial estate in </w:t>
      </w:r>
      <w:proofErr w:type="spellStart"/>
      <w:r>
        <w:t>Sarroch</w:t>
      </w:r>
      <w:proofErr w:type="spellEnd"/>
      <w:r>
        <w:t xml:space="preserve"> on the south coast of Sardinia, west of the capital Cagliari, is one of the largest refineries on the Mediterranean. It is just a few kilometres away from headquarters of </w:t>
      </w:r>
      <w:proofErr w:type="spellStart"/>
      <w:r>
        <w:t>Mintor</w:t>
      </w:r>
      <w:proofErr w:type="spellEnd"/>
      <w:r>
        <w:t>, which is involved in the fields of technical consultancy, production, assembly and maintenance of industrial plants in many different sectors of industry. The company has been working in the oil and gas industry, petrochemicals, chemicals, electricity and food production for over twenty years.</w:t>
      </w:r>
    </w:p>
    <w:p w:rsidR="00936138" w:rsidRPr="00936138" w:rsidRDefault="00936138" w:rsidP="00755C7E">
      <w:pPr>
        <w:pStyle w:val="Copytext11Pt"/>
        <w:spacing w:line="300" w:lineRule="auto"/>
        <w:rPr>
          <w:b/>
        </w:rPr>
      </w:pPr>
      <w:r>
        <w:rPr>
          <w:b/>
        </w:rPr>
        <w:t>LTM 1120-4.1 perfect for jobs in petrochemical plants</w:t>
      </w:r>
    </w:p>
    <w:p w:rsidR="002A351B" w:rsidRDefault="009D045A" w:rsidP="00755C7E">
      <w:pPr>
        <w:pStyle w:val="Copytext11Pt"/>
        <w:spacing w:line="300" w:lineRule="auto"/>
      </w:pPr>
      <w:proofErr w:type="spellStart"/>
      <w:r w:rsidRPr="009D045A">
        <w:t>Mintor's</w:t>
      </w:r>
      <w:proofErr w:type="spellEnd"/>
      <w:r w:rsidRPr="009D045A">
        <w:t xml:space="preserve"> cranes find a wide field of activity at the </w:t>
      </w:r>
      <w:proofErr w:type="spellStart"/>
      <w:r w:rsidRPr="009D045A">
        <w:t>Sarlux</w:t>
      </w:r>
      <w:proofErr w:type="spellEnd"/>
      <w:r w:rsidRPr="009D045A">
        <w:t xml:space="preserve"> refinery</w:t>
      </w:r>
      <w:r w:rsidR="00B41EEE">
        <w:t xml:space="preserve">. The LTM 1120-4.1 is one of the newest mobile cranes and features a compact design together with a long, powerful telescopic boom. That makes it perfect for working in the petrochemicals industry. Giorgio Aru, Purchasing Manager at </w:t>
      </w:r>
      <w:proofErr w:type="spellStart"/>
      <w:r w:rsidR="00B41EEE">
        <w:t>Mintor</w:t>
      </w:r>
      <w:proofErr w:type="spellEnd"/>
      <w:r w:rsidR="00B41EEE">
        <w:t>, explains: “We value the flexibility and reliability of the Liebherr 120 tonne crane. The precision of the crane movements is extremely important for working in oil and gas plants. High safety standards are essential for our company.”</w:t>
      </w:r>
    </w:p>
    <w:p w:rsidR="00B41EEE" w:rsidRDefault="002A351B" w:rsidP="00B41EEE">
      <w:pPr>
        <w:pStyle w:val="Copytext11Pt"/>
        <w:spacing w:line="300" w:lineRule="auto"/>
        <w:sectPr w:rsidR="00B41EEE" w:rsidSect="00785F8A">
          <w:headerReference w:type="default" r:id="rId10"/>
          <w:pgSz w:w="11906" w:h="16838"/>
          <w:pgMar w:top="851" w:right="851" w:bottom="851" w:left="851" w:header="850" w:footer="850" w:gutter="0"/>
          <w:cols w:space="708"/>
          <w:docGrid w:linePitch="360"/>
        </w:sectPr>
      </w:pPr>
      <w:r>
        <w:t xml:space="preserve">A hoist height of 58 metres was required for the job on the flue’s emission system at the refinery. The </w:t>
      </w:r>
      <w:proofErr w:type="gramStart"/>
      <w:r>
        <w:t>66</w:t>
      </w:r>
      <w:r w:rsidR="009D045A">
        <w:t xml:space="preserve"> </w:t>
      </w:r>
      <w:r>
        <w:t>metre</w:t>
      </w:r>
      <w:proofErr w:type="gramEnd"/>
      <w:r>
        <w:t xml:space="preserve"> telescopic boom was easily long enough to reach this height. This meant that there was no need to erect lattice extensions to reach the hoist height, although this would normally have been necessary. Hoisting just half a tonne at a radius of 18.4 metres also failed to challenge the LTM 1120-4.1. Only 15.4 tonnes ballast had to </w:t>
      </w:r>
      <w:proofErr w:type="gramStart"/>
      <w:r>
        <w:t>be used</w:t>
      </w:r>
      <w:proofErr w:type="gramEnd"/>
      <w:r>
        <w:t xml:space="preserve">, around half the maximum possible counterweight. However, the constricted conditions in the refinery certainly proved challenging. This meant that the option of using a compact 4-axle mobile crane was a major benefit. </w:t>
      </w:r>
    </w:p>
    <w:p w:rsidR="00B41EEE" w:rsidRPr="00B41EEE" w:rsidRDefault="00B41EEE" w:rsidP="00B41EEE">
      <w:pPr>
        <w:pStyle w:val="Copytext11Pt"/>
        <w:spacing w:line="300" w:lineRule="auto"/>
        <w:rPr>
          <w:b/>
        </w:rPr>
      </w:pPr>
      <w:r>
        <w:rPr>
          <w:b/>
        </w:rPr>
        <w:lastRenderedPageBreak/>
        <w:t>Great economy and flexibility</w:t>
      </w:r>
    </w:p>
    <w:p w:rsidR="00B41EEE" w:rsidRPr="00B41EEE" w:rsidRDefault="00B41EEE" w:rsidP="00B41EEE">
      <w:pPr>
        <w:pStyle w:val="Copytext11Pt"/>
        <w:spacing w:line="300" w:lineRule="auto"/>
      </w:pPr>
      <w:r>
        <w:t xml:space="preserve">The Liebherr LTM 1120-4.1 can tackle </w:t>
      </w:r>
      <w:proofErr w:type="gramStart"/>
      <w:r>
        <w:t>jobs which</w:t>
      </w:r>
      <w:proofErr w:type="gramEnd"/>
      <w:r>
        <w:t xml:space="preserve"> normally would require a 5-axle crane, eliminating all the logistics work needed for the larger model. Because a 4-axle crane delivers benefits in terms of licensing and road permits, it can tackle jobs faster and with greater flexibility. The design of a 4-axle crane also enables it to tackle jobs where there is insufficient space for larger cranes. On constricted sites, in particular, </w:t>
      </w:r>
      <w:proofErr w:type="spellStart"/>
      <w:r>
        <w:t>Liebherr’s</w:t>
      </w:r>
      <w:proofErr w:type="spellEnd"/>
      <w:r>
        <w:t xml:space="preserve"> </w:t>
      </w:r>
      <w:proofErr w:type="spellStart"/>
      <w:r>
        <w:t>VarioBallast</w:t>
      </w:r>
      <w:proofErr w:type="spellEnd"/>
      <w:r>
        <w:rPr>
          <w:vertAlign w:val="superscript"/>
        </w:rPr>
        <w:t>®</w:t>
      </w:r>
      <w:r>
        <w:t xml:space="preserve"> and </w:t>
      </w:r>
      <w:proofErr w:type="spellStart"/>
      <w:r>
        <w:t>VarioBase</w:t>
      </w:r>
      <w:proofErr w:type="spellEnd"/>
      <w:r>
        <w:rPr>
          <w:vertAlign w:val="superscript"/>
        </w:rPr>
        <w:t>®</w:t>
      </w:r>
      <w:r>
        <w:t xml:space="preserve"> innovations deliver enhanced performance, flexibility and safety for this new crane model.</w:t>
      </w:r>
    </w:p>
    <w:p w:rsidR="009D045A" w:rsidRDefault="00B41EEE" w:rsidP="00B41EEE">
      <w:pPr>
        <w:pStyle w:val="Copytext11Pt"/>
        <w:spacing w:line="300" w:lineRule="auto"/>
      </w:pPr>
      <w:r>
        <w:t xml:space="preserve">The </w:t>
      </w:r>
      <w:proofErr w:type="spellStart"/>
      <w:r>
        <w:t>VarioBallast</w:t>
      </w:r>
      <w:proofErr w:type="spellEnd"/>
      <w:r>
        <w:rPr>
          <w:vertAlign w:val="superscript"/>
        </w:rPr>
        <w:t>®</w:t>
      </w:r>
      <w:r>
        <w:t xml:space="preserve"> on the LTM 1120-4.1 enables the crane to operate with a ballast radius of 3.83 or 4.77 metres. The ballast radius </w:t>
      </w:r>
      <w:proofErr w:type="gramStart"/>
      <w:r>
        <w:t>can be reduced</w:t>
      </w:r>
      <w:proofErr w:type="gramEnd"/>
      <w:r>
        <w:t xml:space="preserve"> by 940 millimetres quickly and easily using standard, mechanically adjustable ballasting cylinders when site conditions get tight. The large ballast radius delivers higher performance and </w:t>
      </w:r>
      <w:proofErr w:type="gramStart"/>
      <w:r>
        <w:t>often also</w:t>
      </w:r>
      <w:proofErr w:type="gramEnd"/>
      <w:r>
        <w:t xml:space="preserve"> cost benefits by reducing ballast transport, as many crane jobs can be completed with fewer counterweights.</w:t>
      </w:r>
    </w:p>
    <w:p w:rsidR="001B0117" w:rsidRDefault="001B0117" w:rsidP="00B41EEE">
      <w:pPr>
        <w:pStyle w:val="Copytext11Pt"/>
        <w:spacing w:line="300" w:lineRule="auto"/>
      </w:pPr>
      <w:r>
        <w:t xml:space="preserve">The </w:t>
      </w:r>
      <w:proofErr w:type="spellStart"/>
      <w:r>
        <w:t>VarioBase</w:t>
      </w:r>
      <w:proofErr w:type="spellEnd"/>
      <w:r>
        <w:rPr>
          <w:vertAlign w:val="superscript"/>
        </w:rPr>
        <w:t>®</w:t>
      </w:r>
      <w:r>
        <w:t xml:space="preserve"> variable support base makes it possible to working constricted areas safely. The maximum lifting capacities are calculated individually and precisely for every situation. This ensures safe working practice with any chosen support base.</w:t>
      </w:r>
    </w:p>
    <w:p w:rsidR="001229B2" w:rsidRDefault="001229B2" w:rsidP="001229B2">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1229B2" w:rsidRDefault="001229B2" w:rsidP="001229B2">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w:t>
      </w:r>
      <w:proofErr w:type="gramStart"/>
      <w:r>
        <w:rPr>
          <w:b w:val="0"/>
        </w:rPr>
        <w:t>heavy duty</w:t>
      </w:r>
      <w:proofErr w:type="gramEnd"/>
      <w:r>
        <w:rPr>
          <w:b w:val="0"/>
        </w:rP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Pr>
          <w:b w:val="0"/>
        </w:rPr>
        <w:t>can be seen</w:t>
      </w:r>
      <w:proofErr w:type="gramEnd"/>
      <w:r>
        <w:rPr>
          <w:b w:val="0"/>
        </w:rP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rsidR="001229B2" w:rsidRPr="00DE6E5C" w:rsidRDefault="001229B2" w:rsidP="001229B2">
      <w:pPr>
        <w:pStyle w:val="BoilerplateCopyhead9Pt"/>
      </w:pPr>
      <w:r>
        <w:t>About the Liebherr Group</w:t>
      </w:r>
    </w:p>
    <w:p w:rsidR="001229B2" w:rsidRPr="00DE6E5C" w:rsidRDefault="001229B2" w:rsidP="001229B2">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FB36B8" w:rsidRPr="009D045A" w:rsidRDefault="00FB36B8" w:rsidP="00B41EEE">
      <w:pPr>
        <w:pStyle w:val="Copytext11Pt"/>
        <w:spacing w:line="300" w:lineRule="auto"/>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1229B2" w:rsidRDefault="001229B2" w:rsidP="009E24A7">
      <w:pPr>
        <w:pStyle w:val="LHbase-type11ptregular"/>
        <w:spacing w:after="120" w:line="240" w:lineRule="auto"/>
        <w:rPr>
          <w:b/>
        </w:rPr>
      </w:pPr>
    </w:p>
    <w:p w:rsidR="00B439CD" w:rsidRDefault="00B439CD" w:rsidP="009E24A7">
      <w:pPr>
        <w:pStyle w:val="LHbase-type11ptregular"/>
        <w:spacing w:after="120" w:line="240" w:lineRule="auto"/>
        <w:rPr>
          <w:b/>
        </w:rPr>
      </w:pPr>
    </w:p>
    <w:p w:rsidR="00B439CD" w:rsidRDefault="00B439CD" w:rsidP="009E24A7">
      <w:pPr>
        <w:pStyle w:val="LHbase-type11ptregular"/>
        <w:spacing w:after="120" w:line="240" w:lineRule="auto"/>
        <w:rPr>
          <w:b/>
        </w:rPr>
      </w:pPr>
      <w:bookmarkStart w:id="0" w:name="_GoBack"/>
      <w:bookmarkEnd w:id="0"/>
    </w:p>
    <w:p w:rsidR="0085005E" w:rsidRPr="0085005E" w:rsidRDefault="0085005E" w:rsidP="009E24A7">
      <w:pPr>
        <w:pStyle w:val="LHbase-type11ptregular"/>
        <w:spacing w:after="120" w:line="240" w:lineRule="auto"/>
        <w:rPr>
          <w:b/>
        </w:rPr>
      </w:pPr>
      <w:r>
        <w:rPr>
          <w:b/>
        </w:rPr>
        <w:lastRenderedPageBreak/>
        <w:t>Photographs</w:t>
      </w:r>
    </w:p>
    <w:p w:rsidR="00E712F8" w:rsidRDefault="00936138" w:rsidP="009E24A7">
      <w:pPr>
        <w:pStyle w:val="LHbase-type11ptregular"/>
        <w:spacing w:after="120" w:line="240" w:lineRule="auto"/>
      </w:pPr>
      <w:r>
        <w:rPr>
          <w:noProof/>
          <w:lang w:val="de-DE"/>
        </w:rPr>
        <w:drawing>
          <wp:inline distT="0" distB="0" distL="0" distR="0" wp14:editId="5CF3B292">
            <wp:extent cx="2618509" cy="393053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20-4-1-mintor-motiv1-96dpi.jpg"/>
                    <pic:cNvPicPr/>
                  </pic:nvPicPr>
                  <pic:blipFill>
                    <a:blip r:embed="rId11">
                      <a:extLst>
                        <a:ext uri="{28A0092B-C50C-407E-A947-70E740481C1C}">
                          <a14:useLocalDpi xmlns:a14="http://schemas.microsoft.com/office/drawing/2010/main" val="0"/>
                        </a:ext>
                      </a:extLst>
                    </a:blip>
                    <a:stretch>
                      <a:fillRect/>
                    </a:stretch>
                  </pic:blipFill>
                  <pic:spPr>
                    <a:xfrm>
                      <a:off x="0" y="0"/>
                      <a:ext cx="2637483" cy="3959011"/>
                    </a:xfrm>
                    <a:prstGeom prst="rect">
                      <a:avLst/>
                    </a:prstGeom>
                  </pic:spPr>
                </pic:pic>
              </a:graphicData>
            </a:graphic>
          </wp:inline>
        </w:drawing>
      </w:r>
    </w:p>
    <w:p w:rsidR="00532802" w:rsidRDefault="00936138" w:rsidP="00532802">
      <w:pPr>
        <w:pStyle w:val="Copytext11Pt"/>
        <w:spacing w:after="120" w:line="240" w:lineRule="auto"/>
      </w:pPr>
      <w:proofErr w:type="gramStart"/>
      <w:r>
        <w:rPr>
          <w:rStyle w:val="Caption9PtZchn"/>
        </w:rPr>
        <w:t>liebherr-ltm1120-4-1-mintor-1.jpg</w:t>
      </w:r>
      <w:proofErr w:type="gramEnd"/>
      <w:r>
        <w:rPr>
          <w:rStyle w:val="Caption9PtZchn"/>
        </w:rPr>
        <w:br/>
      </w:r>
      <w:proofErr w:type="spellStart"/>
      <w:r>
        <w:rPr>
          <w:rStyle w:val="Caption9PtZchn"/>
        </w:rPr>
        <w:t>Mintor</w:t>
      </w:r>
      <w:proofErr w:type="spellEnd"/>
      <w:r>
        <w:rPr>
          <w:rStyle w:val="Caption9PtZchn"/>
        </w:rPr>
        <w:t xml:space="preserve"> </w:t>
      </w:r>
      <w:proofErr w:type="spellStart"/>
      <w:r>
        <w:rPr>
          <w:rStyle w:val="Caption9PtZchn"/>
        </w:rPr>
        <w:t>Srl</w:t>
      </w:r>
      <w:proofErr w:type="spellEnd"/>
      <w:r>
        <w:rPr>
          <w:rStyle w:val="Caption9PtZchn"/>
        </w:rPr>
        <w:t xml:space="preserve"> uses the LTM 1120-4.1 at the neighbouring </w:t>
      </w:r>
      <w:proofErr w:type="spellStart"/>
      <w:r>
        <w:rPr>
          <w:rStyle w:val="Caption9PtZchn"/>
        </w:rPr>
        <w:t>Sarlux</w:t>
      </w:r>
      <w:proofErr w:type="spellEnd"/>
      <w:r>
        <w:rPr>
          <w:rStyle w:val="Caption9PtZchn"/>
        </w:rPr>
        <w:t xml:space="preserve"> refinery for repair work</w:t>
      </w:r>
      <w:r>
        <w:t>.</w:t>
      </w:r>
    </w:p>
    <w:p w:rsidR="009D045A" w:rsidRDefault="009D045A" w:rsidP="00532802">
      <w:pPr>
        <w:pStyle w:val="Copytext11Pt"/>
        <w:spacing w:after="120" w:line="240" w:lineRule="auto"/>
      </w:pPr>
    </w:p>
    <w:p w:rsidR="00856397" w:rsidRDefault="00936138" w:rsidP="009E24A7">
      <w:pPr>
        <w:pStyle w:val="Copytext11Pt"/>
        <w:spacing w:after="120" w:line="240" w:lineRule="auto"/>
      </w:pPr>
      <w:r>
        <w:rPr>
          <w:noProof/>
          <w:lang w:val="de-DE"/>
        </w:rPr>
        <w:drawing>
          <wp:inline distT="0" distB="0" distL="0" distR="0" wp14:editId="516A5081">
            <wp:extent cx="2698642" cy="4050814"/>
            <wp:effectExtent l="0" t="0" r="6985" b="698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20-4-1-mintor-motiv2-96dpi.jpg"/>
                    <pic:cNvPicPr/>
                  </pic:nvPicPr>
                  <pic:blipFill>
                    <a:blip r:embed="rId12">
                      <a:extLst>
                        <a:ext uri="{28A0092B-C50C-407E-A947-70E740481C1C}">
                          <a14:useLocalDpi xmlns:a14="http://schemas.microsoft.com/office/drawing/2010/main" val="0"/>
                        </a:ext>
                      </a:extLst>
                    </a:blip>
                    <a:stretch>
                      <a:fillRect/>
                    </a:stretch>
                  </pic:blipFill>
                  <pic:spPr>
                    <a:xfrm>
                      <a:off x="0" y="0"/>
                      <a:ext cx="2733131" cy="4102584"/>
                    </a:xfrm>
                    <a:prstGeom prst="rect">
                      <a:avLst/>
                    </a:prstGeom>
                  </pic:spPr>
                </pic:pic>
              </a:graphicData>
            </a:graphic>
          </wp:inline>
        </w:drawing>
      </w:r>
    </w:p>
    <w:p w:rsidR="008D772B" w:rsidRDefault="00936138" w:rsidP="00FB36B8">
      <w:pPr>
        <w:pStyle w:val="Caption9Pt"/>
      </w:pPr>
      <w:proofErr w:type="gramStart"/>
      <w:r>
        <w:t>liebherr-ltm1120-4-1-mintor-2.jpg</w:t>
      </w:r>
      <w:proofErr w:type="gramEnd"/>
      <w:r>
        <w:br/>
        <w:t xml:space="preserve">The 66 metre telescopic boom on the LTM 1120-4.1 means there is no need to erect a lattice jib for many jobs. </w:t>
      </w:r>
    </w:p>
    <w:p w:rsidR="00856397" w:rsidRPr="009D045A" w:rsidRDefault="00856397" w:rsidP="00856397">
      <w:pPr>
        <w:pStyle w:val="Copytext11Pt"/>
        <w:spacing w:after="120" w:line="240" w:lineRule="auto"/>
      </w:pPr>
    </w:p>
    <w:p w:rsidR="009E24A7" w:rsidRDefault="00936138" w:rsidP="009E24A7">
      <w:pPr>
        <w:pStyle w:val="Copytext11Pt"/>
        <w:spacing w:after="120" w:line="240" w:lineRule="auto"/>
      </w:pPr>
      <w:r>
        <w:rPr>
          <w:noProof/>
          <w:lang w:val="de-DE"/>
        </w:rPr>
        <w:drawing>
          <wp:inline distT="0" distB="0" distL="0" distR="0" wp14:editId="17AA96C7">
            <wp:extent cx="2676659" cy="4017818"/>
            <wp:effectExtent l="0" t="0" r="9525" b="190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20-4-1-mintor-motiv3-96dpi.jpg"/>
                    <pic:cNvPicPr/>
                  </pic:nvPicPr>
                  <pic:blipFill>
                    <a:blip r:embed="rId13">
                      <a:extLst>
                        <a:ext uri="{28A0092B-C50C-407E-A947-70E740481C1C}">
                          <a14:useLocalDpi xmlns:a14="http://schemas.microsoft.com/office/drawing/2010/main" val="0"/>
                        </a:ext>
                      </a:extLst>
                    </a:blip>
                    <a:stretch>
                      <a:fillRect/>
                    </a:stretch>
                  </pic:blipFill>
                  <pic:spPr>
                    <a:xfrm>
                      <a:off x="0" y="0"/>
                      <a:ext cx="2705412" cy="4060979"/>
                    </a:xfrm>
                    <a:prstGeom prst="rect">
                      <a:avLst/>
                    </a:prstGeom>
                  </pic:spPr>
                </pic:pic>
              </a:graphicData>
            </a:graphic>
          </wp:inline>
        </w:drawing>
      </w:r>
    </w:p>
    <w:p w:rsidR="00E96443" w:rsidRDefault="00936138" w:rsidP="00FB36B8">
      <w:pPr>
        <w:pStyle w:val="Caption9Pt"/>
      </w:pPr>
      <w:proofErr w:type="gramStart"/>
      <w:r>
        <w:t>liebherr-ltm1120-4-1-mintor-3.jpg</w:t>
      </w:r>
      <w:proofErr w:type="gramEnd"/>
      <w:r>
        <w:br/>
        <w:t xml:space="preserve">When combined with </w:t>
      </w:r>
      <w:proofErr w:type="spellStart"/>
      <w:r>
        <w:t>VarioBase</w:t>
      </w:r>
      <w:proofErr w:type="spellEnd"/>
      <w:r w:rsidRPr="009D045A">
        <w:rPr>
          <w:vertAlign w:val="superscript"/>
        </w:rPr>
        <w:t>®</w:t>
      </w:r>
      <w:r>
        <w:t xml:space="preserve"> and </w:t>
      </w:r>
      <w:proofErr w:type="spellStart"/>
      <w:r>
        <w:t>VarioBallast</w:t>
      </w:r>
      <w:proofErr w:type="spellEnd"/>
      <w:r w:rsidRPr="009D045A">
        <w:rPr>
          <w:vertAlign w:val="superscript"/>
        </w:rPr>
        <w:t>®</w:t>
      </w:r>
      <w:r>
        <w:t xml:space="preserve">, the compact 4-axle chassis on the LTM 1120-4.1 delivers major benefits in constricted site conditions. </w:t>
      </w:r>
    </w:p>
    <w:p w:rsidR="00390858" w:rsidRDefault="00390858" w:rsidP="00390858"/>
    <w:p w:rsidR="00EE369E" w:rsidRPr="006462B2" w:rsidRDefault="00936138" w:rsidP="00390858">
      <w:r>
        <w:rPr>
          <w:noProof/>
          <w:lang w:val="de-DE"/>
        </w:rPr>
        <w:drawing>
          <wp:inline distT="0" distB="0" distL="0" distR="0" wp14:editId="61F40CDA">
            <wp:extent cx="2713233" cy="4072717"/>
            <wp:effectExtent l="0" t="0" r="0" b="444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120-4-1-mintor-motiv4-96dpi.jpg"/>
                    <pic:cNvPicPr/>
                  </pic:nvPicPr>
                  <pic:blipFill>
                    <a:blip r:embed="rId14">
                      <a:extLst>
                        <a:ext uri="{28A0092B-C50C-407E-A947-70E740481C1C}">
                          <a14:useLocalDpi xmlns:a14="http://schemas.microsoft.com/office/drawing/2010/main" val="0"/>
                        </a:ext>
                      </a:extLst>
                    </a:blip>
                    <a:stretch>
                      <a:fillRect/>
                    </a:stretch>
                  </pic:blipFill>
                  <pic:spPr>
                    <a:xfrm>
                      <a:off x="0" y="0"/>
                      <a:ext cx="2742095" cy="4116041"/>
                    </a:xfrm>
                    <a:prstGeom prst="rect">
                      <a:avLst/>
                    </a:prstGeom>
                  </pic:spPr>
                </pic:pic>
              </a:graphicData>
            </a:graphic>
          </wp:inline>
        </w:drawing>
      </w:r>
    </w:p>
    <w:p w:rsidR="008D772B" w:rsidRDefault="00936138" w:rsidP="00FB36B8">
      <w:pPr>
        <w:pStyle w:val="Caption9Pt"/>
      </w:pPr>
      <w:proofErr w:type="gramStart"/>
      <w:r>
        <w:t>liebherr-ltm1120-4-1-mintor-4.jpg</w:t>
      </w:r>
      <w:proofErr w:type="gramEnd"/>
      <w:r>
        <w:br/>
      </w:r>
      <w:proofErr w:type="spellStart"/>
      <w:r>
        <w:t>Mintor</w:t>
      </w:r>
      <w:proofErr w:type="spellEnd"/>
      <w:r>
        <w:t xml:space="preserve"> is based in Cagliari, the capital of Sardinia.</w:t>
      </w:r>
    </w:p>
    <w:p w:rsidR="00DA1455" w:rsidRPr="00BA1DEA" w:rsidRDefault="00DA1455" w:rsidP="00DA1455">
      <w:pPr>
        <w:pStyle w:val="Copyhead11Pt"/>
      </w:pPr>
      <w:r>
        <w:t>Contact person</w:t>
      </w:r>
    </w:p>
    <w:p w:rsidR="00DA1455" w:rsidRPr="00A53434" w:rsidRDefault="00DA1455" w:rsidP="00DA1455">
      <w:pPr>
        <w:pStyle w:val="Copytext11Pt"/>
      </w:pPr>
      <w:r>
        <w:t>Wolfgang Beringer</w:t>
      </w:r>
      <w:r>
        <w:br/>
        <w:t>Marketing and Communication</w:t>
      </w:r>
      <w:r>
        <w:br/>
        <w:t>Phone: +49 7391/502-3663</w:t>
      </w:r>
      <w:r>
        <w:br/>
        <w:t>Email: wolfgang.beringer@liebherr.com</w:t>
      </w:r>
    </w:p>
    <w:p w:rsidR="00DA1455" w:rsidRPr="00BA1DEA" w:rsidRDefault="00DA1455" w:rsidP="00DA1455">
      <w:pPr>
        <w:pStyle w:val="Copyhead11Pt"/>
      </w:pPr>
      <w:r>
        <w:t>Published by</w:t>
      </w:r>
    </w:p>
    <w:p w:rsidR="00FB36B8" w:rsidRPr="00B72040" w:rsidRDefault="00DA1455" w:rsidP="00B72040">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FB36B8" w:rsidRPr="00B72040"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7840" w:rsidRDefault="00B37840" w:rsidP="00785F8A">
      <w:r>
        <w:separator/>
      </w:r>
    </w:p>
    <w:p w:rsidR="00B37840" w:rsidRDefault="00B37840"/>
  </w:endnote>
  <w:endnote w:type="continuationSeparator" w:id="0">
    <w:p w:rsidR="00B37840" w:rsidRDefault="00B37840" w:rsidP="00785F8A">
      <w:r>
        <w:continuationSeparator/>
      </w:r>
    </w:p>
    <w:p w:rsidR="00B37840" w:rsidRDefault="00B378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7840" w:rsidRDefault="00B37840" w:rsidP="00785F8A">
      <w:r>
        <w:separator/>
      </w:r>
    </w:p>
    <w:p w:rsidR="00B37840" w:rsidRDefault="00B37840"/>
  </w:footnote>
  <w:footnote w:type="continuationSeparator" w:id="0">
    <w:p w:rsidR="00B37840" w:rsidRDefault="00B37840" w:rsidP="00785F8A">
      <w:r>
        <w:continuationSeparator/>
      </w:r>
    </w:p>
    <w:p w:rsidR="00B37840" w:rsidRDefault="00B3784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EEE" w:rsidRDefault="00B41EEE">
    <w:pPr>
      <w:pStyle w:val="Kopfzeile"/>
    </w:pPr>
    <w:r>
      <w:ptab w:relativeTo="margin" w:alignment="right" w:leader="none"/>
    </w:r>
    <w:r>
      <w:rPr>
        <w:noProof/>
        <w:lang w:val="de-DE" w:eastAsia="de-DE"/>
      </w:rPr>
      <w:drawing>
        <wp:inline distT="0" distB="0" distL="0" distR="0" wp14:anchorId="13D5C034" wp14:editId="0A3B57D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53DE" w:rsidRPr="008D53DE" w:rsidRDefault="008D53DE" w:rsidP="008D53D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37DF"/>
    <w:rsid w:val="000231A3"/>
    <w:rsid w:val="00023B07"/>
    <w:rsid w:val="000264D6"/>
    <w:rsid w:val="00033228"/>
    <w:rsid w:val="00042864"/>
    <w:rsid w:val="0004458C"/>
    <w:rsid w:val="00044D7A"/>
    <w:rsid w:val="00050422"/>
    <w:rsid w:val="00050D5B"/>
    <w:rsid w:val="00056673"/>
    <w:rsid w:val="00060E3A"/>
    <w:rsid w:val="0006377F"/>
    <w:rsid w:val="00065D04"/>
    <w:rsid w:val="00070C63"/>
    <w:rsid w:val="000728EC"/>
    <w:rsid w:val="00081148"/>
    <w:rsid w:val="0008717D"/>
    <w:rsid w:val="0008758E"/>
    <w:rsid w:val="00097828"/>
    <w:rsid w:val="000A025F"/>
    <w:rsid w:val="000A3FD0"/>
    <w:rsid w:val="000C6782"/>
    <w:rsid w:val="000D2765"/>
    <w:rsid w:val="0010042D"/>
    <w:rsid w:val="00112840"/>
    <w:rsid w:val="001153E8"/>
    <w:rsid w:val="00120AD3"/>
    <w:rsid w:val="001229B2"/>
    <w:rsid w:val="0012786A"/>
    <w:rsid w:val="00127BE0"/>
    <w:rsid w:val="00131F1F"/>
    <w:rsid w:val="001355FC"/>
    <w:rsid w:val="00137FBA"/>
    <w:rsid w:val="00143E6A"/>
    <w:rsid w:val="00145DB7"/>
    <w:rsid w:val="00154675"/>
    <w:rsid w:val="00176AAD"/>
    <w:rsid w:val="001953DB"/>
    <w:rsid w:val="00195DA0"/>
    <w:rsid w:val="001B0117"/>
    <w:rsid w:val="001B3B17"/>
    <w:rsid w:val="001B542D"/>
    <w:rsid w:val="001B6585"/>
    <w:rsid w:val="001B7815"/>
    <w:rsid w:val="001D4B18"/>
    <w:rsid w:val="001E2AB3"/>
    <w:rsid w:val="001E3351"/>
    <w:rsid w:val="001E5AF3"/>
    <w:rsid w:val="001F538B"/>
    <w:rsid w:val="001F78E7"/>
    <w:rsid w:val="00210009"/>
    <w:rsid w:val="00212198"/>
    <w:rsid w:val="002206F1"/>
    <w:rsid w:val="00221E05"/>
    <w:rsid w:val="002248A1"/>
    <w:rsid w:val="002255CA"/>
    <w:rsid w:val="002265CC"/>
    <w:rsid w:val="002356E4"/>
    <w:rsid w:val="00241F40"/>
    <w:rsid w:val="0025561C"/>
    <w:rsid w:val="00264EF1"/>
    <w:rsid w:val="00271366"/>
    <w:rsid w:val="00284065"/>
    <w:rsid w:val="00292157"/>
    <w:rsid w:val="00295696"/>
    <w:rsid w:val="002A351B"/>
    <w:rsid w:val="002B630E"/>
    <w:rsid w:val="002C1A02"/>
    <w:rsid w:val="002C1B63"/>
    <w:rsid w:val="002C5257"/>
    <w:rsid w:val="002C7476"/>
    <w:rsid w:val="002E4FC4"/>
    <w:rsid w:val="002F3E07"/>
    <w:rsid w:val="003031DA"/>
    <w:rsid w:val="00311B43"/>
    <w:rsid w:val="00311CB2"/>
    <w:rsid w:val="00315B4C"/>
    <w:rsid w:val="00315EEF"/>
    <w:rsid w:val="003237C3"/>
    <w:rsid w:val="0032429B"/>
    <w:rsid w:val="00331475"/>
    <w:rsid w:val="00345F28"/>
    <w:rsid w:val="00353F5F"/>
    <w:rsid w:val="00372B14"/>
    <w:rsid w:val="00377D63"/>
    <w:rsid w:val="00390858"/>
    <w:rsid w:val="003953E5"/>
    <w:rsid w:val="003A52C8"/>
    <w:rsid w:val="003B1B27"/>
    <w:rsid w:val="003B4ADA"/>
    <w:rsid w:val="003B756A"/>
    <w:rsid w:val="003C1EB2"/>
    <w:rsid w:val="003C4D6E"/>
    <w:rsid w:val="003C7E77"/>
    <w:rsid w:val="003D73AD"/>
    <w:rsid w:val="003F4F68"/>
    <w:rsid w:val="003F5199"/>
    <w:rsid w:val="003F566B"/>
    <w:rsid w:val="0040353B"/>
    <w:rsid w:val="004202B7"/>
    <w:rsid w:val="00435F31"/>
    <w:rsid w:val="004459BC"/>
    <w:rsid w:val="0045698B"/>
    <w:rsid w:val="004628AE"/>
    <w:rsid w:val="00485396"/>
    <w:rsid w:val="004901AD"/>
    <w:rsid w:val="004A0DA8"/>
    <w:rsid w:val="004A1048"/>
    <w:rsid w:val="004A423A"/>
    <w:rsid w:val="004B1A8C"/>
    <w:rsid w:val="004B4CC2"/>
    <w:rsid w:val="004B7435"/>
    <w:rsid w:val="004C2748"/>
    <w:rsid w:val="004C3B8D"/>
    <w:rsid w:val="004D2BDB"/>
    <w:rsid w:val="004E0CF2"/>
    <w:rsid w:val="004E1A92"/>
    <w:rsid w:val="004E2135"/>
    <w:rsid w:val="004F4CF2"/>
    <w:rsid w:val="00505929"/>
    <w:rsid w:val="0051101D"/>
    <w:rsid w:val="00514102"/>
    <w:rsid w:val="005144E6"/>
    <w:rsid w:val="0051710E"/>
    <w:rsid w:val="00517C20"/>
    <w:rsid w:val="00532802"/>
    <w:rsid w:val="00536BFF"/>
    <w:rsid w:val="00537270"/>
    <w:rsid w:val="00546EF6"/>
    <w:rsid w:val="00551A73"/>
    <w:rsid w:val="00557A95"/>
    <w:rsid w:val="005618E9"/>
    <w:rsid w:val="00561C60"/>
    <w:rsid w:val="00562655"/>
    <w:rsid w:val="00567C88"/>
    <w:rsid w:val="005938D0"/>
    <w:rsid w:val="00595785"/>
    <w:rsid w:val="005A72C7"/>
    <w:rsid w:val="005B24B8"/>
    <w:rsid w:val="005D0EBF"/>
    <w:rsid w:val="005D2AA4"/>
    <w:rsid w:val="005E7F21"/>
    <w:rsid w:val="005F2FFE"/>
    <w:rsid w:val="005F5EDA"/>
    <w:rsid w:val="00601812"/>
    <w:rsid w:val="0060313F"/>
    <w:rsid w:val="006141D9"/>
    <w:rsid w:val="00621551"/>
    <w:rsid w:val="00637826"/>
    <w:rsid w:val="00641CAC"/>
    <w:rsid w:val="006462B2"/>
    <w:rsid w:val="00646E84"/>
    <w:rsid w:val="00656DED"/>
    <w:rsid w:val="0066414E"/>
    <w:rsid w:val="0066563C"/>
    <w:rsid w:val="00676679"/>
    <w:rsid w:val="006902CD"/>
    <w:rsid w:val="00692BC7"/>
    <w:rsid w:val="006C1962"/>
    <w:rsid w:val="006D3B79"/>
    <w:rsid w:val="006F5405"/>
    <w:rsid w:val="007057CD"/>
    <w:rsid w:val="00707492"/>
    <w:rsid w:val="0071334E"/>
    <w:rsid w:val="00714C11"/>
    <w:rsid w:val="00745147"/>
    <w:rsid w:val="00745E17"/>
    <w:rsid w:val="00755C7E"/>
    <w:rsid w:val="0076115A"/>
    <w:rsid w:val="00764AE6"/>
    <w:rsid w:val="007660BC"/>
    <w:rsid w:val="0077001A"/>
    <w:rsid w:val="00780C3D"/>
    <w:rsid w:val="00785F8A"/>
    <w:rsid w:val="0078765B"/>
    <w:rsid w:val="00791875"/>
    <w:rsid w:val="00794615"/>
    <w:rsid w:val="007B0FA8"/>
    <w:rsid w:val="007D562D"/>
    <w:rsid w:val="007E1A2C"/>
    <w:rsid w:val="007E6624"/>
    <w:rsid w:val="008003FD"/>
    <w:rsid w:val="008270C9"/>
    <w:rsid w:val="008273D8"/>
    <w:rsid w:val="00841B1A"/>
    <w:rsid w:val="00843DEB"/>
    <w:rsid w:val="00845C23"/>
    <w:rsid w:val="0085005E"/>
    <w:rsid w:val="00856397"/>
    <w:rsid w:val="00860D9A"/>
    <w:rsid w:val="00862F1E"/>
    <w:rsid w:val="008668DC"/>
    <w:rsid w:val="00872277"/>
    <w:rsid w:val="008754FF"/>
    <w:rsid w:val="00876F9C"/>
    <w:rsid w:val="008775D4"/>
    <w:rsid w:val="008B5AF8"/>
    <w:rsid w:val="008D53DE"/>
    <w:rsid w:val="008D772B"/>
    <w:rsid w:val="008E0224"/>
    <w:rsid w:val="008E49F7"/>
    <w:rsid w:val="008E71AE"/>
    <w:rsid w:val="008E7C49"/>
    <w:rsid w:val="008F2433"/>
    <w:rsid w:val="008F445D"/>
    <w:rsid w:val="00907C5D"/>
    <w:rsid w:val="009100DE"/>
    <w:rsid w:val="00917D14"/>
    <w:rsid w:val="00920F08"/>
    <w:rsid w:val="00936138"/>
    <w:rsid w:val="0093769F"/>
    <w:rsid w:val="009477BB"/>
    <w:rsid w:val="0096609B"/>
    <w:rsid w:val="009666CF"/>
    <w:rsid w:val="0097189E"/>
    <w:rsid w:val="00975265"/>
    <w:rsid w:val="00975440"/>
    <w:rsid w:val="0098128B"/>
    <w:rsid w:val="00997739"/>
    <w:rsid w:val="00997C6C"/>
    <w:rsid w:val="009C26F7"/>
    <w:rsid w:val="009D045A"/>
    <w:rsid w:val="009E24A7"/>
    <w:rsid w:val="009E27D4"/>
    <w:rsid w:val="009F12FA"/>
    <w:rsid w:val="009F1D78"/>
    <w:rsid w:val="00A02806"/>
    <w:rsid w:val="00A14C33"/>
    <w:rsid w:val="00A3228D"/>
    <w:rsid w:val="00A32DA8"/>
    <w:rsid w:val="00A34F22"/>
    <w:rsid w:val="00A37D4D"/>
    <w:rsid w:val="00A41EED"/>
    <w:rsid w:val="00A42529"/>
    <w:rsid w:val="00A44B5D"/>
    <w:rsid w:val="00A52A3B"/>
    <w:rsid w:val="00A5593F"/>
    <w:rsid w:val="00A56C52"/>
    <w:rsid w:val="00A6180E"/>
    <w:rsid w:val="00A62AF9"/>
    <w:rsid w:val="00A721FB"/>
    <w:rsid w:val="00A864AE"/>
    <w:rsid w:val="00A90031"/>
    <w:rsid w:val="00A964D2"/>
    <w:rsid w:val="00AA3B8A"/>
    <w:rsid w:val="00AA70AC"/>
    <w:rsid w:val="00AA75B9"/>
    <w:rsid w:val="00AB4FB5"/>
    <w:rsid w:val="00AC0D5B"/>
    <w:rsid w:val="00AC278F"/>
    <w:rsid w:val="00AC3975"/>
    <w:rsid w:val="00AC6CF2"/>
    <w:rsid w:val="00AD2A20"/>
    <w:rsid w:val="00AE2F9F"/>
    <w:rsid w:val="00AF0E3B"/>
    <w:rsid w:val="00AF1F99"/>
    <w:rsid w:val="00AF2A59"/>
    <w:rsid w:val="00B079B3"/>
    <w:rsid w:val="00B14940"/>
    <w:rsid w:val="00B17D2B"/>
    <w:rsid w:val="00B2163A"/>
    <w:rsid w:val="00B30EC9"/>
    <w:rsid w:val="00B31B2A"/>
    <w:rsid w:val="00B32F1A"/>
    <w:rsid w:val="00B37840"/>
    <w:rsid w:val="00B40393"/>
    <w:rsid w:val="00B418E9"/>
    <w:rsid w:val="00B41EEE"/>
    <w:rsid w:val="00B439CD"/>
    <w:rsid w:val="00B47034"/>
    <w:rsid w:val="00B50662"/>
    <w:rsid w:val="00B52DB8"/>
    <w:rsid w:val="00B5322B"/>
    <w:rsid w:val="00B5603F"/>
    <w:rsid w:val="00B72040"/>
    <w:rsid w:val="00B72612"/>
    <w:rsid w:val="00B74A8F"/>
    <w:rsid w:val="00B8386C"/>
    <w:rsid w:val="00B9490C"/>
    <w:rsid w:val="00B969CE"/>
    <w:rsid w:val="00BB33D4"/>
    <w:rsid w:val="00BC503E"/>
    <w:rsid w:val="00BD295A"/>
    <w:rsid w:val="00BE3E47"/>
    <w:rsid w:val="00BE77D1"/>
    <w:rsid w:val="00C107A7"/>
    <w:rsid w:val="00C30898"/>
    <w:rsid w:val="00C318C5"/>
    <w:rsid w:val="00C338DE"/>
    <w:rsid w:val="00C36188"/>
    <w:rsid w:val="00C55FB5"/>
    <w:rsid w:val="00C61232"/>
    <w:rsid w:val="00C70E1A"/>
    <w:rsid w:val="00C943CA"/>
    <w:rsid w:val="00CB0776"/>
    <w:rsid w:val="00CB4102"/>
    <w:rsid w:val="00CC1F74"/>
    <w:rsid w:val="00CD0DB2"/>
    <w:rsid w:val="00CD1496"/>
    <w:rsid w:val="00CE0A5B"/>
    <w:rsid w:val="00CF1B51"/>
    <w:rsid w:val="00CF57F2"/>
    <w:rsid w:val="00D06F3D"/>
    <w:rsid w:val="00D24C8C"/>
    <w:rsid w:val="00D251A8"/>
    <w:rsid w:val="00D329DA"/>
    <w:rsid w:val="00D43D1B"/>
    <w:rsid w:val="00D467AB"/>
    <w:rsid w:val="00D64DD5"/>
    <w:rsid w:val="00D6554A"/>
    <w:rsid w:val="00D71075"/>
    <w:rsid w:val="00D73835"/>
    <w:rsid w:val="00D8065E"/>
    <w:rsid w:val="00D86C5B"/>
    <w:rsid w:val="00D962EE"/>
    <w:rsid w:val="00DA1455"/>
    <w:rsid w:val="00DB41B0"/>
    <w:rsid w:val="00DB56D1"/>
    <w:rsid w:val="00DC3667"/>
    <w:rsid w:val="00DD6EF7"/>
    <w:rsid w:val="00E03DA5"/>
    <w:rsid w:val="00E04F38"/>
    <w:rsid w:val="00E127D9"/>
    <w:rsid w:val="00E169ED"/>
    <w:rsid w:val="00E16F4E"/>
    <w:rsid w:val="00E2275E"/>
    <w:rsid w:val="00E2400D"/>
    <w:rsid w:val="00E32D89"/>
    <w:rsid w:val="00E50CFB"/>
    <w:rsid w:val="00E5466E"/>
    <w:rsid w:val="00E67158"/>
    <w:rsid w:val="00E67998"/>
    <w:rsid w:val="00E712F8"/>
    <w:rsid w:val="00E7703C"/>
    <w:rsid w:val="00E8266B"/>
    <w:rsid w:val="00E94151"/>
    <w:rsid w:val="00E96443"/>
    <w:rsid w:val="00EA0296"/>
    <w:rsid w:val="00EA2875"/>
    <w:rsid w:val="00EA58C4"/>
    <w:rsid w:val="00EC0A00"/>
    <w:rsid w:val="00EC5143"/>
    <w:rsid w:val="00EC59A0"/>
    <w:rsid w:val="00EE369E"/>
    <w:rsid w:val="00EF16E5"/>
    <w:rsid w:val="00EF5D4E"/>
    <w:rsid w:val="00F01B61"/>
    <w:rsid w:val="00F04E15"/>
    <w:rsid w:val="00F05369"/>
    <w:rsid w:val="00F07097"/>
    <w:rsid w:val="00F2174E"/>
    <w:rsid w:val="00F319F3"/>
    <w:rsid w:val="00F333B3"/>
    <w:rsid w:val="00F33557"/>
    <w:rsid w:val="00F352B7"/>
    <w:rsid w:val="00F40097"/>
    <w:rsid w:val="00F449CF"/>
    <w:rsid w:val="00F46D72"/>
    <w:rsid w:val="00F538DE"/>
    <w:rsid w:val="00F5534A"/>
    <w:rsid w:val="00F62E33"/>
    <w:rsid w:val="00F813C7"/>
    <w:rsid w:val="00F81A18"/>
    <w:rsid w:val="00F87656"/>
    <w:rsid w:val="00F90C1A"/>
    <w:rsid w:val="00F935D7"/>
    <w:rsid w:val="00F9641B"/>
    <w:rsid w:val="00FB1531"/>
    <w:rsid w:val="00FB36B8"/>
    <w:rsid w:val="00FC00A5"/>
    <w:rsid w:val="00FC078E"/>
    <w:rsid w:val="00FE78BD"/>
    <w:rsid w:val="00FF40F4"/>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AD41264"/>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153E8"/>
    <w:pPr>
      <w:spacing w:after="0" w:line="240" w:lineRule="auto"/>
    </w:pPr>
    <w:rPr>
      <w:rFonts w:ascii="Times New Roman" w:eastAsia="Times New Roman" w:hAnsi="Times New Roman" w:cs="Times New Roman"/>
      <w:sz w:val="24"/>
      <w:szCs w:val="24"/>
      <w:lang w:eastAsia="de-DE"/>
    </w:rPr>
  </w:style>
  <w:style w:type="paragraph" w:styleId="berschrift2">
    <w:name w:val="heading 2"/>
    <w:basedOn w:val="Standard"/>
    <w:next w:val="Standard"/>
    <w:link w:val="berschrift2Zchn"/>
    <w:unhideWhenUsed/>
    <w:qFormat/>
    <w:rsid w:val="00060E3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line="300" w:lineRule="exact"/>
      <w:ind w:left="782" w:hanging="357"/>
    </w:pPr>
    <w:rPr>
      <w:rFonts w:ascii="Arial" w:eastAsiaTheme="minorHAnsi" w:hAnsi="Arial" w:cs="Arial"/>
      <w:b/>
      <w:sz w:val="22"/>
      <w:szCs w:val="22"/>
      <w:lang w:eastAsia="en-US"/>
    </w:rPr>
  </w:style>
  <w:style w:type="paragraph" w:customStyle="1" w:styleId="HeadlineH233Pt">
    <w:name w:val="Headline H2 33Pt"/>
    <w:basedOn w:val="Standard"/>
    <w:link w:val="HeadlineH233PtZchn"/>
    <w:qFormat/>
    <w:rsid w:val="00785F8A"/>
    <w:pPr>
      <w:keepNext/>
      <w:keepLines/>
      <w:spacing w:line="259" w:lineRule="auto"/>
      <w:outlineLvl w:val="0"/>
    </w:pPr>
    <w:rPr>
      <w:rFonts w:ascii="Arial" w:eastAsiaTheme="majorEastAsia" w:hAnsi="Arial" w:cstheme="majorBidi"/>
      <w:b/>
      <w:sz w:val="66"/>
      <w:szCs w:val="32"/>
      <w:lang w:eastAsia="en-US"/>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cstheme="minorBidi"/>
      <w:b/>
      <w:noProof/>
      <w:sz w:val="22"/>
      <w:szCs w:val="22"/>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hAnsi="Arial"/>
      <w:sz w:val="22"/>
      <w:szCs w:val="18"/>
    </w:rPr>
  </w:style>
  <w:style w:type="paragraph" w:customStyle="1" w:styleId="Copyhead11Pt">
    <w:name w:val="Copyhead 11Pt"/>
    <w:basedOn w:val="Standard"/>
    <w:link w:val="Copyhead11PtZchn"/>
    <w:qFormat/>
    <w:rsid w:val="00785F8A"/>
    <w:pPr>
      <w:spacing w:after="300" w:line="300" w:lineRule="exact"/>
    </w:pPr>
    <w:rPr>
      <w:rFonts w:ascii="Arial" w:hAnsi="Arial"/>
      <w:b/>
      <w:sz w:val="22"/>
      <w:szCs w:val="18"/>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titel21ptbold">
    <w:name w:val="LH_titel 21pt bold"/>
    <w:basedOn w:val="Standard"/>
    <w:qFormat/>
    <w:rsid w:val="001953DB"/>
    <w:pPr>
      <w:tabs>
        <w:tab w:val="left" w:pos="170"/>
        <w:tab w:val="left" w:pos="350"/>
      </w:tabs>
      <w:suppressAutoHyphens/>
      <w:spacing w:after="120"/>
    </w:pPr>
    <w:rPr>
      <w:rFonts w:ascii="Arial" w:eastAsiaTheme="minorEastAsia" w:hAnsi="Arial" w:cstheme="minorBidi"/>
      <w:b/>
      <w:sz w:val="42"/>
      <w:szCs w:val="18"/>
    </w:rPr>
  </w:style>
  <w:style w:type="paragraph" w:customStyle="1" w:styleId="LHbase-type11ptregular">
    <w:name w:val="LH_base-type 11pt regular"/>
    <w:qFormat/>
    <w:rsid w:val="00081148"/>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apple-converted-space">
    <w:name w:val="apple-converted-space"/>
    <w:basedOn w:val="Absatz-Standardschriftart"/>
    <w:rsid w:val="00E127D9"/>
  </w:style>
  <w:style w:type="character" w:customStyle="1" w:styleId="berschrift2Zchn">
    <w:name w:val="Überschrift 2 Zchn"/>
    <w:basedOn w:val="Absatz-Standardschriftart"/>
    <w:link w:val="berschrift2"/>
    <w:rsid w:val="00060E3A"/>
    <w:rPr>
      <w:rFonts w:asciiTheme="majorHAnsi" w:eastAsiaTheme="majorEastAsia" w:hAnsiTheme="majorHAnsi" w:cstheme="majorBidi"/>
      <w:color w:val="2E74B5" w:themeColor="accent1" w:themeShade="BF"/>
      <w:sz w:val="26"/>
      <w:szCs w:val="26"/>
      <w:lang w:eastAsia="de-DE"/>
    </w:rPr>
  </w:style>
  <w:style w:type="character" w:styleId="Fett">
    <w:name w:val="Strong"/>
    <w:basedOn w:val="Absatz-Standardschriftart"/>
    <w:uiPriority w:val="22"/>
    <w:qFormat/>
    <w:rsid w:val="00060E3A"/>
    <w:rPr>
      <w:b/>
      <w:bCs/>
    </w:rPr>
  </w:style>
  <w:style w:type="paragraph" w:customStyle="1" w:styleId="m-ten">
    <w:name w:val="m-ten"/>
    <w:basedOn w:val="Standard"/>
    <w:rsid w:val="00060E3A"/>
    <w:pPr>
      <w:spacing w:before="100" w:beforeAutospacing="1" w:after="100" w:afterAutospacing="1"/>
    </w:pPr>
  </w:style>
  <w:style w:type="paragraph" w:customStyle="1" w:styleId="paragraph">
    <w:name w:val="paragraph"/>
    <w:basedOn w:val="Standard"/>
    <w:rsid w:val="00377D63"/>
    <w:pPr>
      <w:spacing w:before="100" w:beforeAutospacing="1" w:after="100" w:afterAutospacing="1"/>
    </w:pPr>
  </w:style>
  <w:style w:type="character" w:customStyle="1" w:styleId="rtr-schema-org">
    <w:name w:val="rtr-schema-org"/>
    <w:basedOn w:val="Absatz-Standardschriftart"/>
    <w:rsid w:val="00377D63"/>
  </w:style>
  <w:style w:type="character" w:styleId="Kommentarzeichen">
    <w:name w:val="annotation reference"/>
    <w:basedOn w:val="Absatz-Standardschriftart"/>
    <w:uiPriority w:val="99"/>
    <w:semiHidden/>
    <w:unhideWhenUsed/>
    <w:rsid w:val="00E2400D"/>
    <w:rPr>
      <w:sz w:val="16"/>
      <w:szCs w:val="16"/>
    </w:rPr>
  </w:style>
  <w:style w:type="paragraph" w:styleId="Kommentartext">
    <w:name w:val="annotation text"/>
    <w:basedOn w:val="Standard"/>
    <w:link w:val="KommentartextZchn"/>
    <w:uiPriority w:val="99"/>
    <w:semiHidden/>
    <w:unhideWhenUsed/>
    <w:rsid w:val="00E2400D"/>
    <w:rPr>
      <w:sz w:val="20"/>
      <w:szCs w:val="20"/>
    </w:rPr>
  </w:style>
  <w:style w:type="character" w:customStyle="1" w:styleId="KommentartextZchn">
    <w:name w:val="Kommentartext Zchn"/>
    <w:basedOn w:val="Absatz-Standardschriftart"/>
    <w:link w:val="Kommentartext"/>
    <w:uiPriority w:val="99"/>
    <w:semiHidden/>
    <w:rsid w:val="00E2400D"/>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E2400D"/>
    <w:rPr>
      <w:b/>
      <w:bCs/>
    </w:rPr>
  </w:style>
  <w:style w:type="character" w:customStyle="1" w:styleId="KommentarthemaZchn">
    <w:name w:val="Kommentarthema Zchn"/>
    <w:basedOn w:val="KommentartextZchn"/>
    <w:link w:val="Kommentarthema"/>
    <w:uiPriority w:val="99"/>
    <w:semiHidden/>
    <w:rsid w:val="00E2400D"/>
    <w:rPr>
      <w:rFonts w:ascii="Times New Roman" w:eastAsia="Times New Roman" w:hAnsi="Times New Roman" w:cs="Times New Roman"/>
      <w:b/>
      <w:bCs/>
      <w:sz w:val="20"/>
      <w:szCs w:val="20"/>
      <w:lang w:eastAsia="de-DE"/>
    </w:rPr>
  </w:style>
  <w:style w:type="paragraph" w:styleId="Sprechblasentext">
    <w:name w:val="Balloon Text"/>
    <w:basedOn w:val="Standard"/>
    <w:link w:val="SprechblasentextZchn"/>
    <w:uiPriority w:val="99"/>
    <w:semiHidden/>
    <w:unhideWhenUsed/>
    <w:rsid w:val="00E2400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2400D"/>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264848">
      <w:bodyDiv w:val="1"/>
      <w:marLeft w:val="0"/>
      <w:marRight w:val="0"/>
      <w:marTop w:val="0"/>
      <w:marBottom w:val="0"/>
      <w:divBdr>
        <w:top w:val="none" w:sz="0" w:space="0" w:color="auto"/>
        <w:left w:val="none" w:sz="0" w:space="0" w:color="auto"/>
        <w:bottom w:val="none" w:sz="0" w:space="0" w:color="auto"/>
        <w:right w:val="none" w:sz="0" w:space="0" w:color="auto"/>
      </w:divBdr>
    </w:div>
    <w:div w:id="175535482">
      <w:bodyDiv w:val="1"/>
      <w:marLeft w:val="0"/>
      <w:marRight w:val="0"/>
      <w:marTop w:val="0"/>
      <w:marBottom w:val="0"/>
      <w:divBdr>
        <w:top w:val="none" w:sz="0" w:space="0" w:color="auto"/>
        <w:left w:val="none" w:sz="0" w:space="0" w:color="auto"/>
        <w:bottom w:val="none" w:sz="0" w:space="0" w:color="auto"/>
        <w:right w:val="none" w:sz="0" w:space="0" w:color="auto"/>
      </w:divBdr>
    </w:div>
    <w:div w:id="179202458">
      <w:bodyDiv w:val="1"/>
      <w:marLeft w:val="0"/>
      <w:marRight w:val="0"/>
      <w:marTop w:val="0"/>
      <w:marBottom w:val="0"/>
      <w:divBdr>
        <w:top w:val="none" w:sz="0" w:space="0" w:color="auto"/>
        <w:left w:val="none" w:sz="0" w:space="0" w:color="auto"/>
        <w:bottom w:val="none" w:sz="0" w:space="0" w:color="auto"/>
        <w:right w:val="none" w:sz="0" w:space="0" w:color="auto"/>
      </w:divBdr>
    </w:div>
    <w:div w:id="204487603">
      <w:bodyDiv w:val="1"/>
      <w:marLeft w:val="0"/>
      <w:marRight w:val="0"/>
      <w:marTop w:val="0"/>
      <w:marBottom w:val="0"/>
      <w:divBdr>
        <w:top w:val="none" w:sz="0" w:space="0" w:color="auto"/>
        <w:left w:val="none" w:sz="0" w:space="0" w:color="auto"/>
        <w:bottom w:val="none" w:sz="0" w:space="0" w:color="auto"/>
        <w:right w:val="none" w:sz="0" w:space="0" w:color="auto"/>
      </w:divBdr>
    </w:div>
    <w:div w:id="235359275">
      <w:bodyDiv w:val="1"/>
      <w:marLeft w:val="0"/>
      <w:marRight w:val="0"/>
      <w:marTop w:val="0"/>
      <w:marBottom w:val="0"/>
      <w:divBdr>
        <w:top w:val="none" w:sz="0" w:space="0" w:color="auto"/>
        <w:left w:val="none" w:sz="0" w:space="0" w:color="auto"/>
        <w:bottom w:val="none" w:sz="0" w:space="0" w:color="auto"/>
        <w:right w:val="none" w:sz="0" w:space="0" w:color="auto"/>
      </w:divBdr>
      <w:divsChild>
        <w:div w:id="482546433">
          <w:marLeft w:val="0"/>
          <w:marRight w:val="0"/>
          <w:marTop w:val="0"/>
          <w:marBottom w:val="0"/>
          <w:divBdr>
            <w:top w:val="none" w:sz="0" w:space="0" w:color="auto"/>
            <w:left w:val="none" w:sz="0" w:space="0" w:color="auto"/>
            <w:bottom w:val="none" w:sz="0" w:space="0" w:color="auto"/>
            <w:right w:val="none" w:sz="0" w:space="0" w:color="auto"/>
          </w:divBdr>
          <w:divsChild>
            <w:div w:id="2055737593">
              <w:marLeft w:val="0"/>
              <w:marRight w:val="0"/>
              <w:marTop w:val="0"/>
              <w:marBottom w:val="0"/>
              <w:divBdr>
                <w:top w:val="none" w:sz="0" w:space="0" w:color="auto"/>
                <w:left w:val="none" w:sz="0" w:space="0" w:color="auto"/>
                <w:bottom w:val="none" w:sz="0" w:space="0" w:color="auto"/>
                <w:right w:val="none" w:sz="0" w:space="0" w:color="auto"/>
              </w:divBdr>
              <w:divsChild>
                <w:div w:id="158179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14937">
      <w:bodyDiv w:val="1"/>
      <w:marLeft w:val="0"/>
      <w:marRight w:val="0"/>
      <w:marTop w:val="0"/>
      <w:marBottom w:val="0"/>
      <w:divBdr>
        <w:top w:val="none" w:sz="0" w:space="0" w:color="auto"/>
        <w:left w:val="none" w:sz="0" w:space="0" w:color="auto"/>
        <w:bottom w:val="none" w:sz="0" w:space="0" w:color="auto"/>
        <w:right w:val="none" w:sz="0" w:space="0" w:color="auto"/>
      </w:divBdr>
    </w:div>
    <w:div w:id="391388960">
      <w:bodyDiv w:val="1"/>
      <w:marLeft w:val="0"/>
      <w:marRight w:val="0"/>
      <w:marTop w:val="0"/>
      <w:marBottom w:val="0"/>
      <w:divBdr>
        <w:top w:val="none" w:sz="0" w:space="0" w:color="auto"/>
        <w:left w:val="none" w:sz="0" w:space="0" w:color="auto"/>
        <w:bottom w:val="none" w:sz="0" w:space="0" w:color="auto"/>
        <w:right w:val="none" w:sz="0" w:space="0" w:color="auto"/>
      </w:divBdr>
    </w:div>
    <w:div w:id="426734238">
      <w:bodyDiv w:val="1"/>
      <w:marLeft w:val="0"/>
      <w:marRight w:val="0"/>
      <w:marTop w:val="0"/>
      <w:marBottom w:val="0"/>
      <w:divBdr>
        <w:top w:val="none" w:sz="0" w:space="0" w:color="auto"/>
        <w:left w:val="none" w:sz="0" w:space="0" w:color="auto"/>
        <w:bottom w:val="none" w:sz="0" w:space="0" w:color="auto"/>
        <w:right w:val="none" w:sz="0" w:space="0" w:color="auto"/>
      </w:divBdr>
    </w:div>
    <w:div w:id="447552423">
      <w:bodyDiv w:val="1"/>
      <w:marLeft w:val="0"/>
      <w:marRight w:val="0"/>
      <w:marTop w:val="0"/>
      <w:marBottom w:val="0"/>
      <w:divBdr>
        <w:top w:val="none" w:sz="0" w:space="0" w:color="auto"/>
        <w:left w:val="none" w:sz="0" w:space="0" w:color="auto"/>
        <w:bottom w:val="none" w:sz="0" w:space="0" w:color="auto"/>
        <w:right w:val="none" w:sz="0" w:space="0" w:color="auto"/>
      </w:divBdr>
    </w:div>
    <w:div w:id="533736342">
      <w:bodyDiv w:val="1"/>
      <w:marLeft w:val="0"/>
      <w:marRight w:val="0"/>
      <w:marTop w:val="0"/>
      <w:marBottom w:val="0"/>
      <w:divBdr>
        <w:top w:val="none" w:sz="0" w:space="0" w:color="auto"/>
        <w:left w:val="none" w:sz="0" w:space="0" w:color="auto"/>
        <w:bottom w:val="none" w:sz="0" w:space="0" w:color="auto"/>
        <w:right w:val="none" w:sz="0" w:space="0" w:color="auto"/>
      </w:divBdr>
      <w:divsChild>
        <w:div w:id="64186760">
          <w:marLeft w:val="0"/>
          <w:marRight w:val="0"/>
          <w:marTop w:val="0"/>
          <w:marBottom w:val="0"/>
          <w:divBdr>
            <w:top w:val="none" w:sz="0" w:space="0" w:color="auto"/>
            <w:left w:val="none" w:sz="0" w:space="0" w:color="auto"/>
            <w:bottom w:val="none" w:sz="0" w:space="0" w:color="auto"/>
            <w:right w:val="none" w:sz="0" w:space="0" w:color="auto"/>
          </w:divBdr>
          <w:divsChild>
            <w:div w:id="1876649304">
              <w:marLeft w:val="0"/>
              <w:marRight w:val="0"/>
              <w:marTop w:val="0"/>
              <w:marBottom w:val="0"/>
              <w:divBdr>
                <w:top w:val="none" w:sz="0" w:space="0" w:color="auto"/>
                <w:left w:val="none" w:sz="0" w:space="0" w:color="auto"/>
                <w:bottom w:val="none" w:sz="0" w:space="0" w:color="auto"/>
                <w:right w:val="none" w:sz="0" w:space="0" w:color="auto"/>
              </w:divBdr>
              <w:divsChild>
                <w:div w:id="152354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351110">
      <w:bodyDiv w:val="1"/>
      <w:marLeft w:val="0"/>
      <w:marRight w:val="0"/>
      <w:marTop w:val="0"/>
      <w:marBottom w:val="0"/>
      <w:divBdr>
        <w:top w:val="none" w:sz="0" w:space="0" w:color="auto"/>
        <w:left w:val="none" w:sz="0" w:space="0" w:color="auto"/>
        <w:bottom w:val="none" w:sz="0" w:space="0" w:color="auto"/>
        <w:right w:val="none" w:sz="0" w:space="0" w:color="auto"/>
      </w:divBdr>
      <w:divsChild>
        <w:div w:id="404841059">
          <w:marLeft w:val="0"/>
          <w:marRight w:val="0"/>
          <w:marTop w:val="0"/>
          <w:marBottom w:val="0"/>
          <w:divBdr>
            <w:top w:val="none" w:sz="0" w:space="0" w:color="auto"/>
            <w:left w:val="none" w:sz="0" w:space="0" w:color="auto"/>
            <w:bottom w:val="none" w:sz="0" w:space="0" w:color="auto"/>
            <w:right w:val="none" w:sz="0" w:space="0" w:color="auto"/>
          </w:divBdr>
          <w:divsChild>
            <w:div w:id="792215640">
              <w:marLeft w:val="0"/>
              <w:marRight w:val="0"/>
              <w:marTop w:val="0"/>
              <w:marBottom w:val="0"/>
              <w:divBdr>
                <w:top w:val="none" w:sz="0" w:space="0" w:color="auto"/>
                <w:left w:val="none" w:sz="0" w:space="0" w:color="auto"/>
                <w:bottom w:val="none" w:sz="0" w:space="0" w:color="auto"/>
                <w:right w:val="none" w:sz="0" w:space="0" w:color="auto"/>
              </w:divBdr>
              <w:divsChild>
                <w:div w:id="100416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4777">
      <w:bodyDiv w:val="1"/>
      <w:marLeft w:val="0"/>
      <w:marRight w:val="0"/>
      <w:marTop w:val="0"/>
      <w:marBottom w:val="0"/>
      <w:divBdr>
        <w:top w:val="none" w:sz="0" w:space="0" w:color="auto"/>
        <w:left w:val="none" w:sz="0" w:space="0" w:color="auto"/>
        <w:bottom w:val="none" w:sz="0" w:space="0" w:color="auto"/>
        <w:right w:val="none" w:sz="0" w:space="0" w:color="auto"/>
      </w:divBdr>
      <w:divsChild>
        <w:div w:id="1215894410">
          <w:marLeft w:val="0"/>
          <w:marRight w:val="0"/>
          <w:marTop w:val="0"/>
          <w:marBottom w:val="0"/>
          <w:divBdr>
            <w:top w:val="none" w:sz="0" w:space="0" w:color="auto"/>
            <w:left w:val="none" w:sz="0" w:space="0" w:color="auto"/>
            <w:bottom w:val="none" w:sz="0" w:space="0" w:color="auto"/>
            <w:right w:val="none" w:sz="0" w:space="0" w:color="auto"/>
          </w:divBdr>
          <w:divsChild>
            <w:div w:id="1529954927">
              <w:marLeft w:val="0"/>
              <w:marRight w:val="0"/>
              <w:marTop w:val="0"/>
              <w:marBottom w:val="0"/>
              <w:divBdr>
                <w:top w:val="none" w:sz="0" w:space="0" w:color="auto"/>
                <w:left w:val="none" w:sz="0" w:space="0" w:color="auto"/>
                <w:bottom w:val="none" w:sz="0" w:space="0" w:color="auto"/>
                <w:right w:val="none" w:sz="0" w:space="0" w:color="auto"/>
              </w:divBdr>
              <w:divsChild>
                <w:div w:id="25004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811087">
      <w:bodyDiv w:val="1"/>
      <w:marLeft w:val="0"/>
      <w:marRight w:val="0"/>
      <w:marTop w:val="0"/>
      <w:marBottom w:val="0"/>
      <w:divBdr>
        <w:top w:val="none" w:sz="0" w:space="0" w:color="auto"/>
        <w:left w:val="none" w:sz="0" w:space="0" w:color="auto"/>
        <w:bottom w:val="none" w:sz="0" w:space="0" w:color="auto"/>
        <w:right w:val="none" w:sz="0" w:space="0" w:color="auto"/>
      </w:divBdr>
    </w:div>
    <w:div w:id="1120034240">
      <w:bodyDiv w:val="1"/>
      <w:marLeft w:val="0"/>
      <w:marRight w:val="0"/>
      <w:marTop w:val="0"/>
      <w:marBottom w:val="0"/>
      <w:divBdr>
        <w:top w:val="none" w:sz="0" w:space="0" w:color="auto"/>
        <w:left w:val="none" w:sz="0" w:space="0" w:color="auto"/>
        <w:bottom w:val="none" w:sz="0" w:space="0" w:color="auto"/>
        <w:right w:val="none" w:sz="0" w:space="0" w:color="auto"/>
      </w:divBdr>
    </w:div>
    <w:div w:id="1154224703">
      <w:bodyDiv w:val="1"/>
      <w:marLeft w:val="0"/>
      <w:marRight w:val="0"/>
      <w:marTop w:val="0"/>
      <w:marBottom w:val="0"/>
      <w:divBdr>
        <w:top w:val="none" w:sz="0" w:space="0" w:color="auto"/>
        <w:left w:val="none" w:sz="0" w:space="0" w:color="auto"/>
        <w:bottom w:val="none" w:sz="0" w:space="0" w:color="auto"/>
        <w:right w:val="none" w:sz="0" w:space="0" w:color="auto"/>
      </w:divBdr>
    </w:div>
    <w:div w:id="1223642907">
      <w:bodyDiv w:val="1"/>
      <w:marLeft w:val="0"/>
      <w:marRight w:val="0"/>
      <w:marTop w:val="0"/>
      <w:marBottom w:val="0"/>
      <w:divBdr>
        <w:top w:val="none" w:sz="0" w:space="0" w:color="auto"/>
        <w:left w:val="none" w:sz="0" w:space="0" w:color="auto"/>
        <w:bottom w:val="none" w:sz="0" w:space="0" w:color="auto"/>
        <w:right w:val="none" w:sz="0" w:space="0" w:color="auto"/>
      </w:divBdr>
    </w:div>
    <w:div w:id="1282104764">
      <w:bodyDiv w:val="1"/>
      <w:marLeft w:val="0"/>
      <w:marRight w:val="0"/>
      <w:marTop w:val="0"/>
      <w:marBottom w:val="0"/>
      <w:divBdr>
        <w:top w:val="none" w:sz="0" w:space="0" w:color="auto"/>
        <w:left w:val="none" w:sz="0" w:space="0" w:color="auto"/>
        <w:bottom w:val="none" w:sz="0" w:space="0" w:color="auto"/>
        <w:right w:val="none" w:sz="0" w:space="0" w:color="auto"/>
      </w:divBdr>
    </w:div>
    <w:div w:id="1419863377">
      <w:bodyDiv w:val="1"/>
      <w:marLeft w:val="0"/>
      <w:marRight w:val="0"/>
      <w:marTop w:val="0"/>
      <w:marBottom w:val="0"/>
      <w:divBdr>
        <w:top w:val="none" w:sz="0" w:space="0" w:color="auto"/>
        <w:left w:val="none" w:sz="0" w:space="0" w:color="auto"/>
        <w:bottom w:val="none" w:sz="0" w:space="0" w:color="auto"/>
        <w:right w:val="none" w:sz="0" w:space="0" w:color="auto"/>
      </w:divBdr>
    </w:div>
    <w:div w:id="1507358098">
      <w:bodyDiv w:val="1"/>
      <w:marLeft w:val="0"/>
      <w:marRight w:val="0"/>
      <w:marTop w:val="0"/>
      <w:marBottom w:val="0"/>
      <w:divBdr>
        <w:top w:val="none" w:sz="0" w:space="0" w:color="auto"/>
        <w:left w:val="none" w:sz="0" w:space="0" w:color="auto"/>
        <w:bottom w:val="none" w:sz="0" w:space="0" w:color="auto"/>
        <w:right w:val="none" w:sz="0" w:space="0" w:color="auto"/>
      </w:divBdr>
      <w:divsChild>
        <w:div w:id="13457143">
          <w:marLeft w:val="0"/>
          <w:marRight w:val="0"/>
          <w:marTop w:val="0"/>
          <w:marBottom w:val="0"/>
          <w:divBdr>
            <w:top w:val="none" w:sz="0" w:space="0" w:color="auto"/>
            <w:left w:val="none" w:sz="0" w:space="0" w:color="auto"/>
            <w:bottom w:val="none" w:sz="0" w:space="0" w:color="auto"/>
            <w:right w:val="none" w:sz="0" w:space="0" w:color="auto"/>
          </w:divBdr>
          <w:divsChild>
            <w:div w:id="165826455">
              <w:marLeft w:val="0"/>
              <w:marRight w:val="0"/>
              <w:marTop w:val="0"/>
              <w:marBottom w:val="0"/>
              <w:divBdr>
                <w:top w:val="none" w:sz="0" w:space="0" w:color="auto"/>
                <w:left w:val="none" w:sz="0" w:space="0" w:color="auto"/>
                <w:bottom w:val="none" w:sz="0" w:space="0" w:color="auto"/>
                <w:right w:val="none" w:sz="0" w:space="0" w:color="auto"/>
              </w:divBdr>
              <w:divsChild>
                <w:div w:id="28673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835328">
      <w:bodyDiv w:val="1"/>
      <w:marLeft w:val="0"/>
      <w:marRight w:val="0"/>
      <w:marTop w:val="0"/>
      <w:marBottom w:val="0"/>
      <w:divBdr>
        <w:top w:val="none" w:sz="0" w:space="0" w:color="auto"/>
        <w:left w:val="none" w:sz="0" w:space="0" w:color="auto"/>
        <w:bottom w:val="none" w:sz="0" w:space="0" w:color="auto"/>
        <w:right w:val="none" w:sz="0" w:space="0" w:color="auto"/>
      </w:divBdr>
    </w:div>
    <w:div w:id="1724600299">
      <w:bodyDiv w:val="1"/>
      <w:marLeft w:val="0"/>
      <w:marRight w:val="0"/>
      <w:marTop w:val="0"/>
      <w:marBottom w:val="0"/>
      <w:divBdr>
        <w:top w:val="none" w:sz="0" w:space="0" w:color="auto"/>
        <w:left w:val="none" w:sz="0" w:space="0" w:color="auto"/>
        <w:bottom w:val="none" w:sz="0" w:space="0" w:color="auto"/>
        <w:right w:val="none" w:sz="0" w:space="0" w:color="auto"/>
      </w:divBdr>
    </w:div>
    <w:div w:id="1865944615">
      <w:bodyDiv w:val="1"/>
      <w:marLeft w:val="0"/>
      <w:marRight w:val="0"/>
      <w:marTop w:val="0"/>
      <w:marBottom w:val="0"/>
      <w:divBdr>
        <w:top w:val="none" w:sz="0" w:space="0" w:color="auto"/>
        <w:left w:val="none" w:sz="0" w:space="0" w:color="auto"/>
        <w:bottom w:val="none" w:sz="0" w:space="0" w:color="auto"/>
        <w:right w:val="none" w:sz="0" w:space="0" w:color="auto"/>
      </w:divBdr>
    </w:div>
    <w:div w:id="1955285310">
      <w:bodyDiv w:val="1"/>
      <w:marLeft w:val="0"/>
      <w:marRight w:val="0"/>
      <w:marTop w:val="0"/>
      <w:marBottom w:val="0"/>
      <w:divBdr>
        <w:top w:val="none" w:sz="0" w:space="0" w:color="auto"/>
        <w:left w:val="none" w:sz="0" w:space="0" w:color="auto"/>
        <w:bottom w:val="none" w:sz="0" w:space="0" w:color="auto"/>
        <w:right w:val="none" w:sz="0" w:space="0" w:color="auto"/>
      </w:divBdr>
    </w:div>
    <w:div w:id="210071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5DBB39-6F3C-4A4E-9C83-8E76521251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FB904C1-EA1F-413B-B4C8-9B45DA4B203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9F9BD07C-7D4C-41F6-89C4-364075049ED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866</Words>
  <Characters>5457</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3</cp:revision>
  <cp:lastPrinted>2021-06-18T06:35:00Z</cp:lastPrinted>
  <dcterms:created xsi:type="dcterms:W3CDTF">2021-08-06T09:52:00Z</dcterms:created>
  <dcterms:modified xsi:type="dcterms:W3CDTF">2021-08-11T06:59:00Z</dcterms:modified>
</cp:coreProperties>
</file>